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C3106" w14:textId="077CFD63" w:rsidR="00D172E5" w:rsidRDefault="00D172E5" w:rsidP="00D17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395031">
        <w:rPr>
          <w:b/>
          <w:noProof/>
          <w:sz w:val="24"/>
        </w:rPr>
        <w:t>3GPP TSG</w:t>
      </w:r>
      <w:r w:rsidR="00311202">
        <w:rPr>
          <w:b/>
          <w:noProof/>
          <w:sz w:val="24"/>
        </w:rPr>
        <w:t xml:space="preserve"> </w:t>
      </w:r>
      <w:r w:rsidR="00935FCE">
        <w:rPr>
          <w:b/>
          <w:noProof/>
          <w:sz w:val="24"/>
        </w:rPr>
        <w:t>RA WG1</w:t>
      </w:r>
      <w:r w:rsidR="00935FCE" w:rsidRPr="00935FCE">
        <w:rPr>
          <w:b/>
          <w:noProof/>
          <w:sz w:val="24"/>
        </w:rPr>
        <w:t xml:space="preserve"> </w:t>
      </w:r>
      <w:r w:rsidR="00421371">
        <w:rPr>
          <w:b/>
          <w:noProof/>
          <w:sz w:val="24"/>
        </w:rPr>
        <w:t>Meeting #8</w:t>
      </w:r>
      <w:r w:rsidR="008761D2">
        <w:rPr>
          <w:b/>
          <w:noProof/>
          <w:sz w:val="24"/>
        </w:rPr>
        <w:t>6</w:t>
      </w:r>
      <w:r w:rsidR="000A6AEA" w:rsidRPr="00311202">
        <w:rPr>
          <w:b/>
          <w:noProof/>
          <w:sz w:val="28"/>
        </w:rPr>
        <w:tab/>
      </w:r>
      <w:r w:rsidR="00DF7C77" w:rsidRPr="00DF7C77">
        <w:rPr>
          <w:b/>
          <w:noProof/>
          <w:sz w:val="28"/>
        </w:rPr>
        <w:t>R1-16</w:t>
      </w:r>
      <w:r w:rsidR="004F6117">
        <w:rPr>
          <w:b/>
          <w:noProof/>
          <w:sz w:val="28"/>
        </w:rPr>
        <w:t>7593</w:t>
      </w:r>
    </w:p>
    <w:p w14:paraId="29617B0A" w14:textId="100D380D" w:rsidR="00D172E5" w:rsidRPr="000F1261" w:rsidRDefault="008761D2" w:rsidP="00D172E5">
      <w:pPr>
        <w:pStyle w:val="CRCoverPage"/>
        <w:outlineLvl w:val="0"/>
        <w:rPr>
          <w:b/>
          <w:noProof/>
          <w:sz w:val="24"/>
        </w:rPr>
      </w:pPr>
      <w:r w:rsidRPr="008761D2">
        <w:rPr>
          <w:rFonts w:eastAsia="SimSun"/>
          <w:b/>
          <w:sz w:val="24"/>
          <w:szCs w:val="24"/>
          <w:lang w:eastAsia="zh-CN"/>
        </w:rPr>
        <w:t>Gothenburg</w:t>
      </w:r>
      <w:r w:rsidR="00311202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Sweden</w:t>
      </w:r>
      <w:r w:rsidR="00311202">
        <w:rPr>
          <w:rFonts w:eastAsia="SimSun"/>
          <w:b/>
          <w:sz w:val="24"/>
          <w:szCs w:val="24"/>
          <w:lang w:eastAsia="zh-CN"/>
        </w:rPr>
        <w:t>,</w:t>
      </w:r>
      <w:r w:rsidR="000A6AEA" w:rsidRPr="000A6AEA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August</w:t>
      </w:r>
      <w:r w:rsidR="002B09A1">
        <w:rPr>
          <w:rFonts w:eastAsia="SimSun"/>
          <w:b/>
          <w:sz w:val="24"/>
          <w:szCs w:val="24"/>
          <w:lang w:eastAsia="zh-CN"/>
        </w:rPr>
        <w:t xml:space="preserve"> 2</w:t>
      </w:r>
      <w:r>
        <w:rPr>
          <w:rFonts w:eastAsia="SimSun"/>
          <w:b/>
          <w:sz w:val="24"/>
          <w:szCs w:val="24"/>
          <w:lang w:eastAsia="zh-CN"/>
        </w:rPr>
        <w:t>2-26</w:t>
      </w:r>
      <w:r w:rsidR="000A6AEA" w:rsidRPr="000A6AEA">
        <w:rPr>
          <w:rFonts w:eastAsia="SimSun"/>
          <w:b/>
          <w:sz w:val="24"/>
          <w:szCs w:val="24"/>
          <w:lang w:eastAsia="zh-CN"/>
        </w:rPr>
        <w:t>, 2016</w:t>
      </w:r>
    </w:p>
    <w:p w14:paraId="1BB9E987" w14:textId="77777777" w:rsidR="00214685" w:rsidRPr="009177A5" w:rsidRDefault="00A230EB" w:rsidP="00D64B07">
      <w:pPr>
        <w:tabs>
          <w:tab w:val="left" w:pos="2556"/>
          <w:tab w:val="left" w:pos="2955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64B07">
        <w:rPr>
          <w:rFonts w:ascii="Arial" w:hAnsi="Arial" w:cs="Arial"/>
          <w:b/>
        </w:rPr>
        <w:tab/>
      </w:r>
    </w:p>
    <w:p w14:paraId="4640B10A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</w:rPr>
      </w:pPr>
      <w:r w:rsidRPr="009177A5">
        <w:rPr>
          <w:rFonts w:ascii="Arial" w:hAnsi="Arial" w:cs="Arial"/>
          <w:b/>
        </w:rPr>
        <w:t>Source:</w:t>
      </w:r>
      <w:r w:rsidRPr="009177A5">
        <w:rPr>
          <w:rFonts w:ascii="Arial" w:hAnsi="Arial" w:cs="Arial"/>
          <w:b/>
        </w:rPr>
        <w:tab/>
      </w:r>
      <w:r w:rsidR="00935FCE">
        <w:rPr>
          <w:rFonts w:ascii="Arial" w:hAnsi="Arial" w:cs="Arial"/>
          <w:bCs/>
        </w:rPr>
        <w:t>Cohere Technologies</w:t>
      </w:r>
    </w:p>
    <w:p w14:paraId="3AD4B409" w14:textId="64BF902E" w:rsidR="00214685" w:rsidRPr="003A07F3" w:rsidRDefault="00214685" w:rsidP="003C5C42">
      <w:pPr>
        <w:spacing w:after="120"/>
        <w:ind w:left="1985" w:hanging="1985"/>
        <w:rPr>
          <w:rFonts w:ascii="Arial" w:hAnsi="Arial" w:cs="Arial"/>
          <w:b/>
        </w:rPr>
      </w:pPr>
      <w:r w:rsidRPr="003C5C42">
        <w:rPr>
          <w:rFonts w:ascii="Arial" w:hAnsi="Arial" w:cs="Arial"/>
          <w:b/>
        </w:rPr>
        <w:t>Title:</w:t>
      </w:r>
      <w:r w:rsidRPr="000C51A5">
        <w:rPr>
          <w:rFonts w:ascii="Arial" w:hAnsi="Arial" w:cs="Arial"/>
        </w:rPr>
        <w:tab/>
      </w:r>
      <w:r w:rsidR="008761D2" w:rsidRPr="008761D2">
        <w:rPr>
          <w:rFonts w:ascii="Arial" w:hAnsi="Arial" w:cs="Arial"/>
          <w:bCs/>
        </w:rPr>
        <w:t>Per</w:t>
      </w:r>
      <w:r w:rsidR="00B71D8B">
        <w:rPr>
          <w:rFonts w:ascii="Arial" w:hAnsi="Arial" w:cs="Arial"/>
          <w:bCs/>
        </w:rPr>
        <w:t>formance evaluation of OTFS waveform</w:t>
      </w:r>
      <w:r w:rsidR="008761D2" w:rsidRPr="008761D2">
        <w:rPr>
          <w:rFonts w:ascii="Arial" w:hAnsi="Arial" w:cs="Arial"/>
          <w:bCs/>
        </w:rPr>
        <w:t xml:space="preserve"> in single user scenarios</w:t>
      </w:r>
    </w:p>
    <w:p w14:paraId="0D0B8A39" w14:textId="6537890F" w:rsidR="00214685" w:rsidRPr="003A07F3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A07F3">
        <w:rPr>
          <w:rFonts w:ascii="Arial" w:hAnsi="Arial" w:cs="Arial"/>
          <w:b/>
          <w:lang w:val="pt-BR"/>
        </w:rPr>
        <w:t>Agenda item:</w:t>
      </w:r>
      <w:r w:rsidRPr="00096FE3">
        <w:rPr>
          <w:rFonts w:ascii="Arial" w:hAnsi="Arial" w:cs="Arial"/>
          <w:lang w:val="pt-BR"/>
        </w:rPr>
        <w:tab/>
      </w:r>
      <w:r w:rsidR="008761D2">
        <w:rPr>
          <w:rFonts w:ascii="Arial" w:hAnsi="Arial" w:cs="Arial"/>
          <w:lang w:val="pt-BR"/>
        </w:rPr>
        <w:t>8</w:t>
      </w:r>
      <w:r w:rsidR="00E259EF">
        <w:rPr>
          <w:rFonts w:ascii="Arial" w:hAnsi="Arial" w:cs="Arial"/>
          <w:lang w:val="pt-BR"/>
        </w:rPr>
        <w:t>.1.</w:t>
      </w:r>
      <w:r w:rsidR="008761D2">
        <w:rPr>
          <w:rFonts w:ascii="Arial" w:hAnsi="Arial" w:cs="Arial"/>
          <w:lang w:val="pt-BR"/>
        </w:rPr>
        <w:t>2</w:t>
      </w:r>
      <w:r w:rsidR="00E259EF">
        <w:rPr>
          <w:rFonts w:ascii="Arial" w:hAnsi="Arial" w:cs="Arial"/>
          <w:lang w:val="pt-BR"/>
        </w:rPr>
        <w:t>.1</w:t>
      </w:r>
    </w:p>
    <w:p w14:paraId="0EC27517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EE458A">
        <w:rPr>
          <w:rFonts w:ascii="Arial" w:hAnsi="Arial" w:cs="Arial"/>
          <w:b/>
        </w:rPr>
        <w:t>Document</w:t>
      </w:r>
      <w:r w:rsidRPr="003A07F3">
        <w:rPr>
          <w:rFonts w:ascii="Arial" w:hAnsi="Arial" w:cs="Arial"/>
          <w:b/>
          <w:lang w:val="pt-BR"/>
        </w:rPr>
        <w:t xml:space="preserve"> for:</w:t>
      </w:r>
      <w:r w:rsidRPr="003A07F3">
        <w:rPr>
          <w:rFonts w:ascii="Arial" w:hAnsi="Arial" w:cs="Arial"/>
          <w:b/>
          <w:lang w:val="pt-BR"/>
        </w:rPr>
        <w:tab/>
      </w:r>
      <w:r w:rsidR="00FC5DD1" w:rsidRPr="00673902">
        <w:rPr>
          <w:rFonts w:ascii="Arial" w:hAnsi="Arial" w:cs="Arial"/>
          <w:bCs/>
        </w:rPr>
        <w:t>Discussion</w:t>
      </w:r>
    </w:p>
    <w:p w14:paraId="5512B8AA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A432C45" w14:textId="77777777" w:rsidR="001E36FD" w:rsidRDefault="001E36FD" w:rsidP="001E36FD">
      <w:pPr>
        <w:pStyle w:val="Heading2"/>
      </w:pPr>
      <w:bookmarkStart w:id="12" w:name="_Ref441342277"/>
      <w:r w:rsidRPr="002B09BC">
        <w:t>Introduction</w:t>
      </w:r>
      <w:r>
        <w:t xml:space="preserve"> </w:t>
      </w:r>
      <w:bookmarkEnd w:id="12"/>
    </w:p>
    <w:p w14:paraId="674C16F6" w14:textId="1C3E112A" w:rsidR="003C6440" w:rsidRDefault="008761D2" w:rsidP="0091668B">
      <w:r>
        <w:t xml:space="preserve">Several candidate waveforms for NR have been presented and discussed at the past two RAN1 meetings. For evaluation purposes, it was agreed to study these candidate waveforms under </w:t>
      </w:r>
      <w:r w:rsidR="003C6440">
        <w:t xml:space="preserve">the NR </w:t>
      </w:r>
      <w:r>
        <w:t>deployment scenarios</w:t>
      </w:r>
      <w:r w:rsidR="003C6440">
        <w:t xml:space="preserve"> of single and </w:t>
      </w:r>
      <w:r>
        <w:t>mixed numerologies on the same carrier. In a previous contribution [1] we presented preliminary performance evaluations comparing the O</w:t>
      </w:r>
      <w:r w:rsidR="00E259EF">
        <w:t>rthogonal Time Frequency Space</w:t>
      </w:r>
      <w:r>
        <w:t xml:space="preserve"> modulation to OFDM</w:t>
      </w:r>
      <w:r w:rsidR="003C6440">
        <w:t xml:space="preserve"> for the single numerology case</w:t>
      </w:r>
      <w:r>
        <w:t>. This contribution provides further evaluations</w:t>
      </w:r>
      <w:r w:rsidR="003C6440">
        <w:t>, including preliminary MIMO evaluations, comparing OTFS and OFDM.</w:t>
      </w:r>
    </w:p>
    <w:p w14:paraId="7C566F69" w14:textId="655449D3" w:rsidR="005238FD" w:rsidRDefault="005238FD" w:rsidP="00347CA7"/>
    <w:p w14:paraId="1AFD07EE" w14:textId="4EAA045C" w:rsidR="00F71F8D" w:rsidRDefault="00647CEA" w:rsidP="00F71F8D">
      <w:pPr>
        <w:pStyle w:val="Heading2"/>
      </w:pPr>
      <w:r>
        <w:t>Discussion</w:t>
      </w:r>
    </w:p>
    <w:p w14:paraId="25D4A459" w14:textId="64DCA6E2" w:rsidR="003C6440" w:rsidRDefault="00BB7DE1" w:rsidP="002C338A">
      <w:r>
        <w:t xml:space="preserve">For brevity we would not describe the OTFS modulation in detail herein but refer the reader to a comprehensive treatment in [2]. </w:t>
      </w:r>
      <w:r w:rsidR="000222BD">
        <w:t>Our evaluation</w:t>
      </w:r>
      <w:r w:rsidR="00DE795A">
        <w:t xml:space="preserve"> </w:t>
      </w:r>
      <w:r w:rsidR="000222BD">
        <w:t xml:space="preserve">methodology largely follows the </w:t>
      </w:r>
      <w:r w:rsidR="00DE795A">
        <w:t>simulation assumptions agreed in [</w:t>
      </w:r>
      <w:r>
        <w:t>3</w:t>
      </w:r>
      <w:r w:rsidR="00DE795A">
        <w:t>]</w:t>
      </w:r>
      <w:r w:rsidR="0065265E">
        <w:t xml:space="preserve"> for the single user scenarios</w:t>
      </w:r>
      <w:r w:rsidR="00DE795A">
        <w:t>. In [</w:t>
      </w:r>
      <w:r>
        <w:t>3</w:t>
      </w:r>
      <w:r w:rsidR="00DE795A">
        <w:t xml:space="preserve">] the main objective is to evaluate candidate waveforms that target coexistence of different services and/or numerologies on the same carrier. </w:t>
      </w:r>
      <w:r w:rsidR="00E50E8C">
        <w:t xml:space="preserve">Accordingly, the evaluation criteria include the </w:t>
      </w:r>
      <w:r w:rsidR="00DE795A">
        <w:t>user spectral efficiency</w:t>
      </w:r>
      <w:r w:rsidR="00FB7194">
        <w:t xml:space="preserve"> with respect to the allocated bandwidth (including guard bands for coexistence)</w:t>
      </w:r>
      <w:r w:rsidR="00DE795A">
        <w:t xml:space="preserve">, PSD with/without clipping, EVM and PAPR/Cubic Metric. </w:t>
      </w:r>
      <w:r w:rsidR="00900FAD">
        <w:t xml:space="preserve">In contrast, </w:t>
      </w:r>
      <w:r w:rsidR="00FB7194">
        <w:t xml:space="preserve">OTFS modulation </w:t>
      </w:r>
      <w:r w:rsidR="00E50E8C">
        <w:t>may be viewed as a generalization of SCFDM, wherein, a</w:t>
      </w:r>
      <w:r w:rsidR="00FB7194">
        <w:t xml:space="preserve"> 2D-FFT-based preprocessing block </w:t>
      </w:r>
      <w:r w:rsidR="00E50E8C">
        <w:t xml:space="preserve">is added </w:t>
      </w:r>
      <w:r w:rsidR="00FB7194">
        <w:t>on top of an OFDM or other multicarrier system</w:t>
      </w:r>
      <w:r w:rsidR="00E50E8C">
        <w:t>. As such, OTFS can op</w:t>
      </w:r>
      <w:r w:rsidR="00FB7194">
        <w:t xml:space="preserve">erate </w:t>
      </w:r>
      <w:r w:rsidR="0065265E">
        <w:t xml:space="preserve">in conjunction with </w:t>
      </w:r>
      <w:r w:rsidR="00E50E8C">
        <w:t xml:space="preserve">a post-FFT processing block such as a window function or a filter to address scenarios with </w:t>
      </w:r>
      <w:r w:rsidR="00FB7194">
        <w:t>mixed numerologies</w:t>
      </w:r>
      <w:r w:rsidR="00900FAD">
        <w:t>,</w:t>
      </w:r>
      <w:r w:rsidR="00FB7194">
        <w:t xml:space="preserve"> or </w:t>
      </w:r>
      <w:r w:rsidR="00900FAD">
        <w:t>simply to minimize the guard</w:t>
      </w:r>
      <w:r w:rsidR="00E62CFD">
        <w:t xml:space="preserve"> </w:t>
      </w:r>
      <w:r w:rsidR="00900FAD">
        <w:t xml:space="preserve">bands needed to meet a spectral mask requirement. </w:t>
      </w:r>
      <w:r w:rsidR="00FB7194">
        <w:t xml:space="preserve">Therefore, </w:t>
      </w:r>
      <w:r w:rsidR="00900FAD">
        <w:t xml:space="preserve">this contribution focuses on the relative performance of OTFS compared to OFDM </w:t>
      </w:r>
      <w:r w:rsidR="00E62CFD">
        <w:t xml:space="preserve">in a doubly-selective </w:t>
      </w:r>
      <w:r w:rsidR="005C0119">
        <w:t xml:space="preserve">fading </w:t>
      </w:r>
      <w:r w:rsidR="00E62CFD">
        <w:t xml:space="preserve">channel. Furthermore, we also present </w:t>
      </w:r>
      <w:r w:rsidR="0065265E">
        <w:t>our</w:t>
      </w:r>
      <w:r w:rsidR="00E62CFD">
        <w:t xml:space="preserve"> preliminary finding</w:t>
      </w:r>
      <w:r w:rsidR="0065265E">
        <w:t>s</w:t>
      </w:r>
      <w:r w:rsidR="00E62CFD">
        <w:t xml:space="preserve"> on MIMO performance</w:t>
      </w:r>
      <w:r w:rsidR="00DE795A">
        <w:t>.</w:t>
      </w:r>
    </w:p>
    <w:p w14:paraId="4538C6BA" w14:textId="69517143" w:rsidR="00006969" w:rsidRDefault="00C838E8" w:rsidP="00BB7DE1">
      <w:r>
        <w:t xml:space="preserve">In line with [3], ideal channel </w:t>
      </w:r>
      <w:r w:rsidR="00E50E8C">
        <w:t xml:space="preserve">estimation </w:t>
      </w:r>
      <w:r w:rsidR="00BB7DE1">
        <w:t xml:space="preserve">is adopted </w:t>
      </w:r>
      <w:r w:rsidR="0065265E">
        <w:t xml:space="preserve">with </w:t>
      </w:r>
      <w:r w:rsidR="00BB7DE1">
        <w:t>no pilot or control overhead. We investigate performance in moderate and high UE speeds of 30 and 120 km/h respectively for the TDL-C channel with RMS delay spread of 300ns.</w:t>
      </w:r>
      <w:r w:rsidR="00E50E8C">
        <w:t xml:space="preserve"> For MIMO, w</w:t>
      </w:r>
      <w:r w:rsidR="00006969">
        <w:t xml:space="preserve">e adopt a constant modulus open loop precoding scheme as this is more realistic for moderate and high speeds. </w:t>
      </w:r>
      <w:r w:rsidR="00E50E8C">
        <w:t xml:space="preserve">Specifically, for </w:t>
      </w:r>
      <w:r w:rsidR="00006969">
        <w:t xml:space="preserve">OFDM we use </w:t>
      </w:r>
      <w:r w:rsidR="0070012C">
        <w:t xml:space="preserve">Large-Delay CDD per </w:t>
      </w:r>
      <w:r w:rsidR="00006969">
        <w:t>LTE Transmis</w:t>
      </w:r>
      <w:r w:rsidR="0070012C">
        <w:t>sion Mo</w:t>
      </w:r>
      <w:r w:rsidR="00006969">
        <w:t>de</w:t>
      </w:r>
      <w:r w:rsidR="0070012C">
        <w:t xml:space="preserve"> 3, where</w:t>
      </w:r>
      <w:r w:rsidR="00E50E8C">
        <w:t>as</w:t>
      </w:r>
      <w:r w:rsidR="0070012C">
        <w:t xml:space="preserve"> OTFS uses an </w:t>
      </w:r>
      <w:r w:rsidR="00006969">
        <w:t xml:space="preserve">identity precoder. </w:t>
      </w:r>
      <w:r w:rsidR="00E50E8C">
        <w:t xml:space="preserve">Other simulation assumptions are described in </w:t>
      </w:r>
      <w:r w:rsidR="00E50E8C">
        <w:fldChar w:fldCharType="begin"/>
      </w:r>
      <w:r w:rsidR="00E50E8C">
        <w:instrText xml:space="preserve"> REF _Ref458770650 \h </w:instrText>
      </w:r>
      <w:r w:rsidR="00E50E8C">
        <w:fldChar w:fldCharType="separate"/>
      </w:r>
      <w:r w:rsidR="00E50E8C">
        <w:t xml:space="preserve">Table </w:t>
      </w:r>
      <w:r w:rsidR="00E50E8C">
        <w:rPr>
          <w:noProof/>
        </w:rPr>
        <w:t>1</w:t>
      </w:r>
      <w:r w:rsidR="00E50E8C">
        <w:fldChar w:fldCharType="end"/>
      </w:r>
      <w:r w:rsidR="00E50E8C">
        <w:t xml:space="preserve"> of the Appendix.</w:t>
      </w:r>
    </w:p>
    <w:p w14:paraId="5572529F" w14:textId="5F6DD85F" w:rsidR="00B75FD8" w:rsidRDefault="00E3608D" w:rsidP="00304B49">
      <w:r>
        <w:fldChar w:fldCharType="begin"/>
      </w:r>
      <w:r>
        <w:instrText xml:space="preserve"> REF _Ref450889441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performance for a 1x1 system at </w:t>
      </w:r>
      <w:r w:rsidR="00E50E8C">
        <w:t>a</w:t>
      </w:r>
      <w:r>
        <w:t xml:space="preserve"> moderate </w:t>
      </w:r>
      <w:r w:rsidR="00E50E8C">
        <w:t xml:space="preserve">UE </w:t>
      </w:r>
      <w:r>
        <w:t xml:space="preserve">speed of 30 km/h. </w:t>
      </w:r>
      <w:r w:rsidR="007E1897">
        <w:t xml:space="preserve">This is the Case 1a scenario of [3] where the target UE is allocated the entire bandwidth of 50 RBs in 10MHz. </w:t>
      </w:r>
      <w:r w:rsidR="00560F39">
        <w:t xml:space="preserve">For a code rate of ½, it can be seen that </w:t>
      </w:r>
      <w:r w:rsidR="00924C40">
        <w:t xml:space="preserve">OTFS has a 1dB </w:t>
      </w:r>
      <w:r>
        <w:t xml:space="preserve">gain over OFDM at </w:t>
      </w:r>
      <w:r w:rsidR="00071E73">
        <w:t xml:space="preserve">the </w:t>
      </w:r>
      <w:r w:rsidR="00924C40">
        <w:t xml:space="preserve">BLER </w:t>
      </w:r>
      <w:r w:rsidR="00071E73">
        <w:t xml:space="preserve">operating point of </w:t>
      </w:r>
      <w:r w:rsidR="00924C40">
        <w:t>10</w:t>
      </w:r>
      <w:r w:rsidR="00924C40" w:rsidRPr="00924C40">
        <w:rPr>
          <w:vertAlign w:val="superscript"/>
        </w:rPr>
        <w:t>-1</w:t>
      </w:r>
      <w:r w:rsidR="00924C40">
        <w:t xml:space="preserve"> for </w:t>
      </w:r>
      <w:r>
        <w:t>16QAM</w:t>
      </w:r>
      <w:r w:rsidR="00924C40">
        <w:t>,</w:t>
      </w:r>
      <w:r>
        <w:t xml:space="preserve"> but </w:t>
      </w:r>
      <w:r w:rsidR="00E50E8C">
        <w:t xml:space="preserve">has </w:t>
      </w:r>
      <w:r>
        <w:t xml:space="preserve">similar performance </w:t>
      </w:r>
      <w:r w:rsidR="00560F39">
        <w:t xml:space="preserve">to OFDM </w:t>
      </w:r>
      <w:r>
        <w:t xml:space="preserve">for 64QAM. </w:t>
      </w:r>
      <w:r w:rsidR="009A5113">
        <w:t xml:space="preserve">In contrast </w:t>
      </w:r>
      <w:r>
        <w:fldChar w:fldCharType="begin"/>
      </w:r>
      <w:r>
        <w:instrText xml:space="preserve"> REF _Ref450889450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</w:t>
      </w:r>
      <w:r w:rsidR="009A5113">
        <w:t xml:space="preserve">shows that OTFS performance improves relative to OFDM for the same case of 64QAM when the speed is increased to </w:t>
      </w:r>
      <w:r>
        <w:t>120 km/h</w:t>
      </w:r>
      <w:r w:rsidR="009A5113">
        <w:t xml:space="preserve">. </w:t>
      </w:r>
      <w:r w:rsidR="0074594C">
        <w:t>Specifically, OTFS has a performance advantage of 2</w:t>
      </w:r>
      <w:r w:rsidR="00A8211A">
        <w:t>.1</w:t>
      </w:r>
      <w:r w:rsidR="0074594C">
        <w:t xml:space="preserve">dB for 64 QAM. </w:t>
      </w:r>
      <w:r w:rsidR="00560F39">
        <w:t xml:space="preserve">Furthermore, comparing </w:t>
      </w:r>
      <w:r w:rsidR="00006969">
        <w:fldChar w:fldCharType="begin"/>
      </w:r>
      <w:r w:rsidR="00006969">
        <w:instrText xml:space="preserve"> REF _Ref450889441 \h </w:instrText>
      </w:r>
      <w:r w:rsidR="00006969">
        <w:fldChar w:fldCharType="separate"/>
      </w:r>
      <w:r w:rsidR="00006969">
        <w:t xml:space="preserve">Figure </w:t>
      </w:r>
      <w:r w:rsidR="00006969">
        <w:rPr>
          <w:noProof/>
        </w:rPr>
        <w:t>1</w:t>
      </w:r>
      <w:r w:rsidR="00006969">
        <w:fldChar w:fldCharType="end"/>
      </w:r>
      <w:r w:rsidR="00006969">
        <w:t xml:space="preserve"> and </w:t>
      </w:r>
      <w:r w:rsidR="00006969">
        <w:fldChar w:fldCharType="begin"/>
      </w:r>
      <w:r w:rsidR="00006969">
        <w:instrText xml:space="preserve"> REF _Ref450889450 \h </w:instrText>
      </w:r>
      <w:r w:rsidR="00006969">
        <w:fldChar w:fldCharType="separate"/>
      </w:r>
      <w:r w:rsidR="00006969">
        <w:t xml:space="preserve">Figure </w:t>
      </w:r>
      <w:r w:rsidR="00006969">
        <w:rPr>
          <w:noProof/>
        </w:rPr>
        <w:t>2</w:t>
      </w:r>
      <w:r w:rsidR="00006969">
        <w:fldChar w:fldCharType="end"/>
      </w:r>
      <w:r w:rsidR="00006969">
        <w:t xml:space="preserve"> it </w:t>
      </w:r>
      <w:r w:rsidR="00560F39">
        <w:t xml:space="preserve">can be seen </w:t>
      </w:r>
      <w:r w:rsidR="00006969">
        <w:t xml:space="preserve">that </w:t>
      </w:r>
      <w:r w:rsidR="00560F39">
        <w:t>OTFS gain</w:t>
      </w:r>
      <w:r w:rsidR="0074594C">
        <w:t xml:space="preserve"> over OFDM</w:t>
      </w:r>
      <w:r w:rsidR="00560F39">
        <w:t xml:space="preserve"> </w:t>
      </w:r>
      <w:r w:rsidR="008F1FBE">
        <w:t xml:space="preserve">also </w:t>
      </w:r>
      <w:r w:rsidR="00560F39">
        <w:t xml:space="preserve">increases </w:t>
      </w:r>
      <w:r w:rsidR="0074594C">
        <w:t xml:space="preserve">to </w:t>
      </w:r>
      <w:r w:rsidR="00A8211A">
        <w:t xml:space="preserve">2.9 </w:t>
      </w:r>
      <w:r w:rsidR="00A8211A">
        <w:t xml:space="preserve">dB </w:t>
      </w:r>
      <w:r w:rsidR="00560F39">
        <w:t xml:space="preserve">for </w:t>
      </w:r>
      <w:r w:rsidR="00006969">
        <w:t xml:space="preserve">16QAM. </w:t>
      </w:r>
      <w:r w:rsidR="0074594C">
        <w:t>This verifies one of the main benefits of OFTS, namely, its robustness to Doppler effects.</w:t>
      </w:r>
    </w:p>
    <w:p w14:paraId="04077B9A" w14:textId="77777777" w:rsidR="00654C4C" w:rsidRDefault="00654C4C" w:rsidP="00304B49"/>
    <w:p w14:paraId="2E1D84F5" w14:textId="77777777" w:rsidR="00654C4C" w:rsidRDefault="00654C4C" w:rsidP="00304B49"/>
    <w:p w14:paraId="3D8285D1" w14:textId="77777777" w:rsidR="00654C4C" w:rsidRDefault="00654C4C" w:rsidP="00304B49"/>
    <w:p w14:paraId="53548275" w14:textId="268EE875" w:rsidR="00B75FD8" w:rsidRDefault="00EC535F" w:rsidP="00F71F8D">
      <w:pPr>
        <w:jc w:val="center"/>
      </w:pPr>
      <w:r>
        <w:rPr>
          <w:noProof/>
        </w:rPr>
        <w:lastRenderedPageBreak/>
        <w:drawing>
          <wp:inline distT="0" distB="0" distL="0" distR="0" wp14:anchorId="53788E3E" wp14:editId="38393AB3">
            <wp:extent cx="3904488" cy="292608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ler_tdlc300_30kmph_1x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DB30B" w14:textId="0BB4F86A" w:rsidR="00F71F8D" w:rsidRDefault="00F71F8D" w:rsidP="00F71F8D">
      <w:pPr>
        <w:pStyle w:val="Caption"/>
        <w:jc w:val="center"/>
      </w:pPr>
      <w:bookmarkStart w:id="13" w:name="_Ref450889441"/>
      <w:r>
        <w:t xml:space="preserve">Figure </w:t>
      </w:r>
      <w:r w:rsidR="008F73C9">
        <w:fldChar w:fldCharType="begin"/>
      </w:r>
      <w:r w:rsidR="008F73C9">
        <w:instrText xml:space="preserve"> SEQ Figure \* ARABIC </w:instrText>
      </w:r>
      <w:r w:rsidR="008F73C9">
        <w:fldChar w:fldCharType="separate"/>
      </w:r>
      <w:r w:rsidR="00375E32">
        <w:rPr>
          <w:noProof/>
        </w:rPr>
        <w:t>1</w:t>
      </w:r>
      <w:r w:rsidR="008F73C9">
        <w:rPr>
          <w:noProof/>
        </w:rPr>
        <w:fldChar w:fldCharType="end"/>
      </w:r>
      <w:bookmarkEnd w:id="13"/>
      <w:r>
        <w:t xml:space="preserve">: </w:t>
      </w:r>
      <w:r w:rsidR="002C338A">
        <w:t xml:space="preserve">BLER </w:t>
      </w:r>
      <w:r w:rsidR="00EC535F">
        <w:t xml:space="preserve">performance </w:t>
      </w:r>
      <w:r w:rsidR="00375E32">
        <w:t>for</w:t>
      </w:r>
      <w:r w:rsidR="0005588E">
        <w:t xml:space="preserve"> Case 1a, 1</w:t>
      </w:r>
      <w:r w:rsidR="00EC535F">
        <w:t>x1, 16QAM and 64QAM</w:t>
      </w:r>
      <w:r w:rsidR="00375E32">
        <w:t>,</w:t>
      </w:r>
      <w:r w:rsidR="00EC535F">
        <w:t xml:space="preserve"> R=1/2</w:t>
      </w:r>
      <w:r w:rsidR="00375E32">
        <w:t>,</w:t>
      </w:r>
      <w:r w:rsidR="00EC535F">
        <w:t xml:space="preserve"> 30kmph in TDL-C, DS=300ns channel</w:t>
      </w:r>
    </w:p>
    <w:p w14:paraId="4A6AA674" w14:textId="77777777" w:rsidR="00F71F8D" w:rsidRDefault="00F71F8D" w:rsidP="00F71F8D"/>
    <w:p w14:paraId="78809AE9" w14:textId="32BEDD65" w:rsidR="00F71F8D" w:rsidRDefault="00EC535F" w:rsidP="00F71F8D">
      <w:pPr>
        <w:jc w:val="center"/>
      </w:pPr>
      <w:r>
        <w:rPr>
          <w:noProof/>
        </w:rPr>
        <w:drawing>
          <wp:inline distT="0" distB="0" distL="0" distR="0" wp14:anchorId="5F40417C" wp14:editId="680CE16B">
            <wp:extent cx="3922776" cy="2944368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er_tdlc300_120kmph_1x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2776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DAD3E" w14:textId="48417480" w:rsidR="00F71F8D" w:rsidRDefault="00F71F8D" w:rsidP="00EC535F">
      <w:pPr>
        <w:pStyle w:val="Caption"/>
        <w:jc w:val="center"/>
      </w:pPr>
      <w:bookmarkStart w:id="14" w:name="_Ref450889450"/>
      <w:r>
        <w:t xml:space="preserve">Figure </w:t>
      </w:r>
      <w:r w:rsidR="008F73C9">
        <w:fldChar w:fldCharType="begin"/>
      </w:r>
      <w:r w:rsidR="008F73C9">
        <w:instrText xml:space="preserve"> SEQ Figure \* ARABIC </w:instrText>
      </w:r>
      <w:r w:rsidR="008F73C9">
        <w:fldChar w:fldCharType="separate"/>
      </w:r>
      <w:r w:rsidR="00375E32">
        <w:rPr>
          <w:noProof/>
        </w:rPr>
        <w:t>2</w:t>
      </w:r>
      <w:r w:rsidR="008F73C9">
        <w:rPr>
          <w:noProof/>
        </w:rPr>
        <w:fldChar w:fldCharType="end"/>
      </w:r>
      <w:bookmarkEnd w:id="14"/>
      <w:r>
        <w:t xml:space="preserve">: </w:t>
      </w:r>
      <w:r w:rsidR="00EC535F">
        <w:t xml:space="preserve">BLER performance </w:t>
      </w:r>
      <w:r w:rsidR="00375E32">
        <w:t>for</w:t>
      </w:r>
      <w:r w:rsidR="0005588E">
        <w:t xml:space="preserve"> Case 1a, </w:t>
      </w:r>
      <w:r w:rsidR="00EC535F">
        <w:t>1x1</w:t>
      </w:r>
      <w:r w:rsidR="0005588E">
        <w:t>,</w:t>
      </w:r>
      <w:r w:rsidR="00EC535F">
        <w:t xml:space="preserve"> 16QAM and 64QAM</w:t>
      </w:r>
      <w:r w:rsidR="00375E32">
        <w:t>,</w:t>
      </w:r>
      <w:r w:rsidR="00EC535F">
        <w:t xml:space="preserve"> R=1/2</w:t>
      </w:r>
      <w:r w:rsidR="00375E32">
        <w:t>,</w:t>
      </w:r>
      <w:r w:rsidR="00EC535F">
        <w:t xml:space="preserve"> 120kmph in TDL-C, DS=300ns channel</w:t>
      </w:r>
    </w:p>
    <w:p w14:paraId="6F8BE2A7" w14:textId="77777777" w:rsidR="0070012C" w:rsidRDefault="0070012C" w:rsidP="0070012C"/>
    <w:p w14:paraId="22F83739" w14:textId="5411E63A" w:rsidR="00E16DF8" w:rsidRDefault="00AC0BD4" w:rsidP="0070012C">
      <w:r>
        <w:t>The performance for</w:t>
      </w:r>
      <w:r w:rsidR="00503F2E">
        <w:t xml:space="preserve"> a small allocation is shown in </w:t>
      </w:r>
      <w:r w:rsidR="00503F2E">
        <w:fldChar w:fldCharType="begin"/>
      </w:r>
      <w:r w:rsidR="00503F2E">
        <w:instrText xml:space="preserve"> REF _Ref458780830 \h </w:instrText>
      </w:r>
      <w:r w:rsidR="00503F2E">
        <w:fldChar w:fldCharType="separate"/>
      </w:r>
      <w:r w:rsidR="00503F2E">
        <w:t xml:space="preserve">Figure </w:t>
      </w:r>
      <w:r w:rsidR="00503F2E">
        <w:rPr>
          <w:noProof/>
        </w:rPr>
        <w:t>3</w:t>
      </w:r>
      <w:r w:rsidR="00503F2E">
        <w:fldChar w:fldCharType="end"/>
      </w:r>
      <w:r>
        <w:t>. This scenario is similar to Case 1b of [3]</w:t>
      </w:r>
      <w:r w:rsidR="00E16DF8">
        <w:t xml:space="preserve"> with some key differences. For OTFS the user is configured with 4 RBs in the Delay-Doppler domain. The QAM symbols are transformed to the time-frequency grid using a Discrete Symplectic Fourier transform, which spreads the data over the time-frequency grid. As such, OTFS natively supports frequency diversity in the time-frequency domain while enabling multiple access in the Delay-Doppler domain. </w:t>
      </w:r>
      <w:r w:rsidR="008B5BC1">
        <w:t xml:space="preserve">Notice that for 16 QAM we see a gain of over 3.5 dB while for 64 QAM the gain is over 2 dB at an operating point of 1e-1. </w:t>
      </w:r>
      <w:r w:rsidR="0074594C">
        <w:t>The significant performance advantage of OTFS over OFDM</w:t>
      </w:r>
      <w:r w:rsidR="00C115FF">
        <w:t xml:space="preserve"> shown here</w:t>
      </w:r>
      <w:r w:rsidR="0074594C">
        <w:t xml:space="preserve"> is its ability to extract the full diversity of the channel </w:t>
      </w:r>
      <w:r w:rsidR="00C115FF">
        <w:t>independent</w:t>
      </w:r>
      <w:r w:rsidR="0074594C">
        <w:t xml:space="preserve"> of packet size</w:t>
      </w:r>
      <w:r w:rsidR="00C115FF">
        <w:t xml:space="preserve"> since all QAM symbols experience the same time-frequency channel</w:t>
      </w:r>
      <w:r w:rsidR="0074594C">
        <w:t xml:space="preserve">. </w:t>
      </w:r>
      <w:r w:rsidR="00E16DF8">
        <w:t xml:space="preserve">In a separate contribution [4] we show multiuser performance when multiple UEs are multiplexed in the Delay-Doppler domain. </w:t>
      </w:r>
    </w:p>
    <w:p w14:paraId="5ADBEAF2" w14:textId="77777777" w:rsidR="00E16DF8" w:rsidRDefault="00E16DF8" w:rsidP="0070012C"/>
    <w:p w14:paraId="332E3371" w14:textId="77777777" w:rsidR="0005588E" w:rsidRDefault="0005588E" w:rsidP="0005588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AB3EBBC" wp14:editId="025B744B">
            <wp:extent cx="3913632" cy="2935224"/>
            <wp:effectExtent l="0" t="0" r="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er_4rb_tdlc300_30kmph_1x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632" cy="293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146D9" w14:textId="4C9B7DE6" w:rsidR="0005588E" w:rsidRDefault="0005588E" w:rsidP="0005588E">
      <w:pPr>
        <w:pStyle w:val="Caption"/>
        <w:jc w:val="center"/>
      </w:pPr>
      <w:bookmarkStart w:id="15" w:name="_Ref458780830"/>
      <w:r>
        <w:t xml:space="preserve">Figure </w:t>
      </w:r>
      <w:r w:rsidR="008F73C9">
        <w:fldChar w:fldCharType="begin"/>
      </w:r>
      <w:r w:rsidR="008F73C9">
        <w:instrText xml:space="preserve"> SEQ Figure \* ARABIC </w:instrText>
      </w:r>
      <w:r w:rsidR="008F73C9">
        <w:fldChar w:fldCharType="separate"/>
      </w:r>
      <w:r w:rsidR="00375E32">
        <w:rPr>
          <w:noProof/>
        </w:rPr>
        <w:t>3</w:t>
      </w:r>
      <w:r w:rsidR="008F73C9">
        <w:rPr>
          <w:noProof/>
        </w:rPr>
        <w:fldChar w:fldCharType="end"/>
      </w:r>
      <w:bookmarkEnd w:id="15"/>
      <w:r>
        <w:t>: BLER performance for OFDM in Case 1b, OTFS 4RBs in D-D domain, 30kmph in TDL-C, DS=300ns channel</w:t>
      </w:r>
    </w:p>
    <w:p w14:paraId="41D13CFA" w14:textId="77777777" w:rsidR="00E16DF8" w:rsidRDefault="00E16DF8" w:rsidP="0070012C"/>
    <w:p w14:paraId="64830E5C" w14:textId="562414E3" w:rsidR="0070012C" w:rsidRPr="0070012C" w:rsidRDefault="005864F8" w:rsidP="0070012C">
      <w:r>
        <w:t>The next set of figures depict performance for multi-antenna systems. Th</w:t>
      </w:r>
      <w:r w:rsidR="00BC5488">
        <w:t xml:space="preserve">ese results demonstrate MIMO performance in </w:t>
      </w:r>
      <w:r>
        <w:t xml:space="preserve">spatially uncorrelated </w:t>
      </w:r>
      <w:r w:rsidR="00BC5488">
        <w:t xml:space="preserve">channels, and serve as performance </w:t>
      </w:r>
      <w:r>
        <w:t>upper bound</w:t>
      </w:r>
      <w:r w:rsidR="00BC5488">
        <w:t xml:space="preserve">s </w:t>
      </w:r>
      <w:r>
        <w:t>for single user MIMO</w:t>
      </w:r>
      <w:r w:rsidR="003F3F8C">
        <w:t xml:space="preserve">. </w:t>
      </w:r>
      <w:r w:rsidR="0070012C">
        <w:t xml:space="preserve"> </w:t>
      </w:r>
      <w:r w:rsidR="00825C35">
        <w:fldChar w:fldCharType="begin"/>
      </w:r>
      <w:r w:rsidR="00825C35">
        <w:instrText xml:space="preserve"> REF _Ref458781562 \h </w:instrText>
      </w:r>
      <w:r w:rsidR="00825C35">
        <w:fldChar w:fldCharType="separate"/>
      </w:r>
      <w:r w:rsidR="00825C35">
        <w:t xml:space="preserve">Figure </w:t>
      </w:r>
      <w:r w:rsidR="00825C35">
        <w:rPr>
          <w:noProof/>
        </w:rPr>
        <w:t>4</w:t>
      </w:r>
      <w:r w:rsidR="00825C35">
        <w:fldChar w:fldCharType="end"/>
      </w:r>
      <w:r w:rsidR="00825C35">
        <w:t xml:space="preserve"> and </w:t>
      </w:r>
      <w:r w:rsidR="00825C35">
        <w:fldChar w:fldCharType="begin"/>
      </w:r>
      <w:r w:rsidR="00825C35">
        <w:instrText xml:space="preserve"> REF _Ref450889601 \h </w:instrText>
      </w:r>
      <w:r w:rsidR="00825C35">
        <w:fldChar w:fldCharType="separate"/>
      </w:r>
      <w:r w:rsidR="00825C35">
        <w:t xml:space="preserve">Figure </w:t>
      </w:r>
      <w:r w:rsidR="00825C35">
        <w:rPr>
          <w:noProof/>
        </w:rPr>
        <w:t>5</w:t>
      </w:r>
      <w:r w:rsidR="00825C35">
        <w:fldChar w:fldCharType="end"/>
      </w:r>
      <w:r w:rsidR="00825C35">
        <w:t xml:space="preserve"> respectively show performance for a 2x2 system at 30 km/h and 120 km/h. It can be seen in </w:t>
      </w:r>
      <w:r w:rsidR="00825C35">
        <w:fldChar w:fldCharType="begin"/>
      </w:r>
      <w:r w:rsidR="00825C35">
        <w:instrText xml:space="preserve"> REF _Ref458781562 \h </w:instrText>
      </w:r>
      <w:r w:rsidR="00825C35">
        <w:fldChar w:fldCharType="separate"/>
      </w:r>
      <w:r w:rsidR="00825C35">
        <w:t xml:space="preserve">Figure </w:t>
      </w:r>
      <w:r w:rsidR="00825C35">
        <w:rPr>
          <w:noProof/>
        </w:rPr>
        <w:t>4</w:t>
      </w:r>
      <w:r w:rsidR="00825C35">
        <w:fldChar w:fldCharType="end"/>
      </w:r>
      <w:r w:rsidR="00825C35">
        <w:t xml:space="preserve"> that OTFS has a gain over OFDM of up to 2dB at the BLER operating point of 10</w:t>
      </w:r>
      <w:r w:rsidR="00825C35" w:rsidRPr="00825C35">
        <w:rPr>
          <w:vertAlign w:val="superscript"/>
        </w:rPr>
        <w:t>-1</w:t>
      </w:r>
      <w:r w:rsidR="00825C35">
        <w:t xml:space="preserve">. Similarly to the 1x1 scenario, the gain increases for higher speeds as shown in </w:t>
      </w:r>
      <w:r w:rsidR="00825C35">
        <w:fldChar w:fldCharType="begin"/>
      </w:r>
      <w:r w:rsidR="00825C35">
        <w:instrText xml:space="preserve"> REF _Ref450889601 \h </w:instrText>
      </w:r>
      <w:r w:rsidR="00825C35">
        <w:fldChar w:fldCharType="separate"/>
      </w:r>
      <w:r w:rsidR="00825C35">
        <w:t xml:space="preserve">Figure </w:t>
      </w:r>
      <w:r w:rsidR="00825C35">
        <w:rPr>
          <w:noProof/>
        </w:rPr>
        <w:t>5</w:t>
      </w:r>
      <w:r w:rsidR="00825C35">
        <w:fldChar w:fldCharType="end"/>
      </w:r>
      <w:r w:rsidR="00825C35">
        <w:t xml:space="preserve">. </w:t>
      </w:r>
      <w:r w:rsidR="008B5BC1">
        <w:t xml:space="preserve">A gain of 2.5 dB and 4 dB is seen for 16 QAM and 64 QAM respectively for the same operating point. </w:t>
      </w:r>
      <w:bookmarkStart w:id="16" w:name="_GoBack"/>
      <w:bookmarkEnd w:id="16"/>
    </w:p>
    <w:p w14:paraId="67170C4F" w14:textId="77777777" w:rsidR="000A16F0" w:rsidRDefault="00EC535F" w:rsidP="000A16F0">
      <w:pPr>
        <w:keepNext/>
        <w:jc w:val="center"/>
      </w:pPr>
      <w:r>
        <w:rPr>
          <w:noProof/>
        </w:rPr>
        <w:drawing>
          <wp:inline distT="0" distB="0" distL="0" distR="0" wp14:anchorId="7E416E2B" wp14:editId="6A6AF921">
            <wp:extent cx="3913632" cy="2935224"/>
            <wp:effectExtent l="0" t="0" r="0" b="1143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ler_tdlc300_30kmph_2x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632" cy="293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02AF5" w14:textId="613D7C8F" w:rsidR="000A16F0" w:rsidRDefault="000A16F0" w:rsidP="000A16F0">
      <w:pPr>
        <w:pStyle w:val="Caption"/>
        <w:jc w:val="center"/>
      </w:pPr>
      <w:bookmarkStart w:id="17" w:name="_Ref458781562"/>
      <w:r>
        <w:t xml:space="preserve">Figure </w:t>
      </w:r>
      <w:fldSimple w:instr=" SEQ Figure \* ARABIC ">
        <w:r w:rsidR="00375E32">
          <w:rPr>
            <w:noProof/>
          </w:rPr>
          <w:t>4</w:t>
        </w:r>
      </w:fldSimple>
      <w:bookmarkEnd w:id="17"/>
      <w:r w:rsidRPr="00E52586">
        <w:t xml:space="preserve">: BLER performance </w:t>
      </w:r>
      <w:r w:rsidR="00375E32">
        <w:t xml:space="preserve">for Case 1a, </w:t>
      </w:r>
      <w:r w:rsidRPr="00E52586">
        <w:t xml:space="preserve">2x2, 16QAM </w:t>
      </w:r>
      <w:r w:rsidR="00375E32">
        <w:t>a</w:t>
      </w:r>
      <w:r w:rsidRPr="00E52586">
        <w:t>nd 64QAM</w:t>
      </w:r>
      <w:r w:rsidR="00375E32">
        <w:t>,</w:t>
      </w:r>
      <w:r w:rsidRPr="00E52586">
        <w:t xml:space="preserve"> R=1/2</w:t>
      </w:r>
      <w:r w:rsidR="00375E32">
        <w:t>, 3</w:t>
      </w:r>
      <w:r w:rsidRPr="00E52586">
        <w:t>0kmph in TDL-C, DS=300ns channel</w:t>
      </w:r>
    </w:p>
    <w:p w14:paraId="3F8164DE" w14:textId="7101A4AA" w:rsidR="00F71F8D" w:rsidRDefault="00EC535F" w:rsidP="00F71F8D">
      <w:pPr>
        <w:jc w:val="center"/>
      </w:pPr>
      <w:r>
        <w:rPr>
          <w:noProof/>
        </w:rPr>
        <w:lastRenderedPageBreak/>
        <w:drawing>
          <wp:inline distT="0" distB="0" distL="0" distR="0" wp14:anchorId="5EF79095" wp14:editId="1D98C00B">
            <wp:extent cx="3913632" cy="2935224"/>
            <wp:effectExtent l="0" t="0" r="0" b="114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ler_tdlc300_120kmph_2x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632" cy="293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773FC" w14:textId="25F7C958" w:rsidR="00F71F8D" w:rsidRDefault="00F71F8D" w:rsidP="00F71F8D">
      <w:pPr>
        <w:pStyle w:val="Caption"/>
        <w:jc w:val="center"/>
      </w:pPr>
      <w:bookmarkStart w:id="18" w:name="_Ref450889601"/>
      <w:r>
        <w:t xml:space="preserve">Figure </w:t>
      </w:r>
      <w:r w:rsidR="008F73C9">
        <w:fldChar w:fldCharType="begin"/>
      </w:r>
      <w:r w:rsidR="008F73C9">
        <w:instrText xml:space="preserve"> SEQ Figure \* ARABIC </w:instrText>
      </w:r>
      <w:r w:rsidR="008F73C9">
        <w:fldChar w:fldCharType="separate"/>
      </w:r>
      <w:r w:rsidR="00375E32">
        <w:rPr>
          <w:noProof/>
        </w:rPr>
        <w:t>5</w:t>
      </w:r>
      <w:r w:rsidR="008F73C9">
        <w:rPr>
          <w:noProof/>
        </w:rPr>
        <w:fldChar w:fldCharType="end"/>
      </w:r>
      <w:bookmarkEnd w:id="18"/>
      <w:r>
        <w:t xml:space="preserve">: </w:t>
      </w:r>
      <w:r w:rsidR="00EC535F">
        <w:t xml:space="preserve">BLER performance </w:t>
      </w:r>
      <w:r w:rsidR="00375E32">
        <w:t>for Case 1a,</w:t>
      </w:r>
      <w:r w:rsidR="00EC535F">
        <w:t xml:space="preserve"> 2x2, 16QAM </w:t>
      </w:r>
      <w:r w:rsidR="00375E32">
        <w:t xml:space="preserve">and </w:t>
      </w:r>
      <w:r w:rsidR="00EC535F">
        <w:t>64QAM</w:t>
      </w:r>
      <w:r w:rsidR="00375E32">
        <w:t>,</w:t>
      </w:r>
      <w:r w:rsidR="00EC535F">
        <w:t xml:space="preserve"> R=1/2</w:t>
      </w:r>
      <w:r w:rsidR="00375E32">
        <w:t>,</w:t>
      </w:r>
      <w:r w:rsidR="00EC535F">
        <w:t xml:space="preserve"> 120kmph in TDL-C, DS=300ns channel</w:t>
      </w:r>
    </w:p>
    <w:p w14:paraId="71BB9039" w14:textId="77777777" w:rsidR="00F71F8D" w:rsidRDefault="00F71F8D" w:rsidP="00F71F8D"/>
    <w:p w14:paraId="412BCF8D" w14:textId="77777777" w:rsidR="00485875" w:rsidRPr="00485875" w:rsidRDefault="00485875" w:rsidP="00485875"/>
    <w:p w14:paraId="4398C195" w14:textId="77777777" w:rsidR="00304B49" w:rsidRDefault="00304B49" w:rsidP="00304B49">
      <w:pPr>
        <w:pStyle w:val="Heading2"/>
      </w:pPr>
      <w:r>
        <w:t>Conclusion</w:t>
      </w:r>
    </w:p>
    <w:p w14:paraId="56475A1A" w14:textId="1509CC0C" w:rsidR="00C13927" w:rsidRDefault="00485875" w:rsidP="001E36FD">
      <w:r>
        <w:t xml:space="preserve">In this contribution we compared the performance of OTFS to OFDM for a variety of single user deployment scenarios. We have shown that OTFS outperforms OFDM with increasing Doppler. Furthermore, the performance gain of OTFS increases over OFDM in MIMO scenarios. As a next step we will evaluate performance in spatially correlated channels. </w:t>
      </w:r>
    </w:p>
    <w:p w14:paraId="0A5883A5" w14:textId="77777777" w:rsidR="00CB77CA" w:rsidRDefault="00CB77CA" w:rsidP="001E36FD"/>
    <w:p w14:paraId="00BF0F83" w14:textId="77777777" w:rsidR="00214685" w:rsidRPr="009177A5" w:rsidRDefault="00214685" w:rsidP="002B09BC">
      <w:pPr>
        <w:pStyle w:val="Heading2"/>
      </w:pPr>
      <w:r w:rsidRPr="009177A5">
        <w:t>References</w:t>
      </w:r>
    </w:p>
    <w:p w14:paraId="3CC2BB67" w14:textId="6FB3540C" w:rsidR="00B75FD8" w:rsidRDefault="00B75FD8" w:rsidP="00B75FD8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bookmarkStart w:id="19" w:name="_Ref450836942"/>
      <w:bookmarkStart w:id="20" w:name="_Ref444545979"/>
      <w:bookmarkStart w:id="21" w:name="_Ref446072562"/>
      <w:r w:rsidRPr="00CB77CA">
        <w:t>R1-</w:t>
      </w:r>
      <w:r w:rsidR="0091668B" w:rsidRPr="0091668B">
        <w:rPr>
          <w:rFonts w:eastAsia="MS Mincho" w:hint="eastAsia"/>
          <w:lang w:eastAsia="ja-JP"/>
        </w:rPr>
        <w:t>165620</w:t>
      </w:r>
      <w:r w:rsidR="0091668B" w:rsidRPr="00C12F87">
        <w:rPr>
          <w:rFonts w:eastAsia="MS Mincho"/>
          <w:lang w:eastAsia="ja-JP"/>
        </w:rPr>
        <w:t xml:space="preserve"> </w:t>
      </w:r>
      <w:r>
        <w:t>“</w:t>
      </w:r>
      <w:r w:rsidR="0091668B" w:rsidRPr="00634866">
        <w:rPr>
          <w:rFonts w:eastAsia="MS Mincho"/>
          <w:lang w:eastAsia="ja-JP"/>
        </w:rPr>
        <w:t>Performance Results for OTFS Modulation</w:t>
      </w:r>
      <w:r>
        <w:t xml:space="preserve">”, </w:t>
      </w:r>
      <w:r w:rsidR="0091668B">
        <w:t>Cohere Technologies</w:t>
      </w:r>
      <w:bookmarkEnd w:id="19"/>
    </w:p>
    <w:p w14:paraId="579C49F8" w14:textId="77777777" w:rsidR="00BB7DE1" w:rsidRDefault="00BB7DE1" w:rsidP="00BB7DE1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bookmarkStart w:id="22" w:name="_Ref447216267"/>
      <w:bookmarkStart w:id="23" w:name="_Ref450837675"/>
      <w:r>
        <w:rPr>
          <w:lang w:eastAsia="zh-CN"/>
        </w:rPr>
        <w:t>R1-163619, “</w:t>
      </w:r>
      <w:r w:rsidRPr="0076550F">
        <w:rPr>
          <w:rFonts w:eastAsia="MS Mincho"/>
          <w:lang w:eastAsia="ja-JP"/>
        </w:rPr>
        <w:t>OTFS Waveform for New RAT</w:t>
      </w:r>
      <w:r>
        <w:rPr>
          <w:lang w:eastAsia="zh-CN"/>
        </w:rPr>
        <w:t>”, Cohere Technologies</w:t>
      </w:r>
      <w:bookmarkEnd w:id="22"/>
      <w:r>
        <w:rPr>
          <w:lang w:eastAsia="zh-CN"/>
        </w:rPr>
        <w:t xml:space="preserve"> </w:t>
      </w:r>
    </w:p>
    <w:p w14:paraId="159C3BB5" w14:textId="65C7F9BA" w:rsidR="00E259EF" w:rsidRPr="003A5D0A" w:rsidRDefault="00E259EF" w:rsidP="00E259EF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r>
        <w:t>R1-16</w:t>
      </w:r>
      <w:r w:rsidR="00C838E8">
        <w:t>3558</w:t>
      </w:r>
      <w:r>
        <w:t xml:space="preserve"> “</w:t>
      </w:r>
      <w:r w:rsidR="00C838E8" w:rsidRPr="00C838E8">
        <w:t>Way forward on assumptions for waveform evaluation</w:t>
      </w:r>
      <w:r w:rsidRPr="00B75FD8">
        <w:t>”</w:t>
      </w:r>
      <w:r>
        <w:rPr>
          <w:rFonts w:ascii="Arial" w:hAnsi="Arial" w:cs="Arial"/>
          <w:bCs/>
        </w:rPr>
        <w:t xml:space="preserve"> </w:t>
      </w:r>
      <w:bookmarkEnd w:id="23"/>
      <w:r w:rsidR="00C838E8" w:rsidRPr="007C6372">
        <w:rPr>
          <w:rFonts w:eastAsia="MS Mincho"/>
          <w:lang w:eastAsia="ja-JP"/>
        </w:rPr>
        <w:t>Huawei, HiSilicon</w:t>
      </w:r>
    </w:p>
    <w:p w14:paraId="06924E87" w14:textId="5A9B0CD5" w:rsidR="003A5D0A" w:rsidRPr="007F3642" w:rsidRDefault="003A5D0A" w:rsidP="00E259EF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r>
        <w:t>R1-167594, “</w:t>
      </w:r>
      <w:r w:rsidRPr="003A5D0A">
        <w:t>Performance evaluation of OTFS waveform in multi user scenarios</w:t>
      </w:r>
      <w:r>
        <w:t>”, Cohere Technologies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0"/>
    <w:bookmarkEnd w:id="21"/>
    <w:p w14:paraId="21DC262B" w14:textId="6440620B" w:rsidR="00401BB7" w:rsidRDefault="00401BB7" w:rsidP="00401BB7">
      <w:pPr>
        <w:pStyle w:val="Heading2"/>
        <w:numPr>
          <w:ilvl w:val="0"/>
          <w:numId w:val="0"/>
        </w:numPr>
      </w:pPr>
    </w:p>
    <w:p w14:paraId="795727D8" w14:textId="5E90427E" w:rsidR="00263AE0" w:rsidRPr="00FB74C9" w:rsidRDefault="00263AE0" w:rsidP="00263AE0">
      <w:pPr>
        <w:pStyle w:val="Heading1"/>
        <w:overflowPunct/>
        <w:autoSpaceDE/>
        <w:autoSpaceDN/>
        <w:adjustRightInd/>
        <w:jc w:val="both"/>
        <w:textAlignment w:val="auto"/>
        <w:rPr>
          <w:lang w:val="en-US"/>
        </w:rPr>
      </w:pPr>
      <w:r w:rsidRPr="00FB74C9">
        <w:rPr>
          <w:lang w:val="en-US"/>
        </w:rPr>
        <w:t>A</w:t>
      </w:r>
      <w:r w:rsidR="00547B1C">
        <w:rPr>
          <w:lang w:val="en-US"/>
        </w:rPr>
        <w:t>PPENDIX</w:t>
      </w:r>
    </w:p>
    <w:p w14:paraId="21E17810" w14:textId="3DF99B12" w:rsidR="004279D0" w:rsidRDefault="004279D0" w:rsidP="004279D0">
      <w:pPr>
        <w:pStyle w:val="Caption"/>
        <w:keepNext/>
      </w:pPr>
      <w:bookmarkStart w:id="24" w:name="_Ref458770650"/>
      <w:r>
        <w:t xml:space="preserve">Table </w:t>
      </w:r>
      <w:fldSimple w:instr=" SEQ Table \* ARABIC ">
        <w:r w:rsidR="0070012C">
          <w:rPr>
            <w:noProof/>
          </w:rPr>
          <w:t>1</w:t>
        </w:r>
      </w:fldSimple>
      <w:bookmarkEnd w:id="24"/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2"/>
        <w:gridCol w:w="4500"/>
      </w:tblGrid>
      <w:tr w:rsidR="00063D5A" w14:paraId="46ABEAB6" w14:textId="77777777" w:rsidTr="00063D5A">
        <w:tc>
          <w:tcPr>
            <w:tcW w:w="3952" w:type="dxa"/>
            <w:shd w:val="clear" w:color="auto" w:fill="F4B083" w:themeFill="accent2" w:themeFillTint="99"/>
          </w:tcPr>
          <w:p w14:paraId="6688A8FD" w14:textId="308017B2" w:rsidR="00BB7DE1" w:rsidRDefault="00BB7DE1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Parameter</w:t>
            </w:r>
          </w:p>
        </w:tc>
        <w:tc>
          <w:tcPr>
            <w:tcW w:w="4500" w:type="dxa"/>
            <w:shd w:val="clear" w:color="auto" w:fill="F4B083" w:themeFill="accent2" w:themeFillTint="99"/>
          </w:tcPr>
          <w:p w14:paraId="23C7E514" w14:textId="3D19D644" w:rsidR="00BB7DE1" w:rsidRDefault="00BB7DE1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Value</w:t>
            </w:r>
          </w:p>
        </w:tc>
      </w:tr>
      <w:tr w:rsidR="00063D5A" w14:paraId="51C8412B" w14:textId="77777777" w:rsidTr="00063D5A">
        <w:tc>
          <w:tcPr>
            <w:tcW w:w="3952" w:type="dxa"/>
          </w:tcPr>
          <w:p w14:paraId="4C5815AB" w14:textId="5874FA99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Carrier frequency (GHz)</w:t>
            </w:r>
          </w:p>
        </w:tc>
        <w:tc>
          <w:tcPr>
            <w:tcW w:w="4500" w:type="dxa"/>
          </w:tcPr>
          <w:p w14:paraId="6A441AE2" w14:textId="1ABEB48C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4.0</w:t>
            </w:r>
          </w:p>
        </w:tc>
      </w:tr>
      <w:tr w:rsidR="00063D5A" w14:paraId="2BE6742B" w14:textId="77777777" w:rsidTr="00063D5A">
        <w:tc>
          <w:tcPr>
            <w:tcW w:w="3952" w:type="dxa"/>
          </w:tcPr>
          <w:p w14:paraId="0A78EC23" w14:textId="513357F0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Duplex mode</w:t>
            </w:r>
          </w:p>
        </w:tc>
        <w:tc>
          <w:tcPr>
            <w:tcW w:w="4500" w:type="dxa"/>
          </w:tcPr>
          <w:p w14:paraId="5C07A233" w14:textId="21212718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FDD</w:t>
            </w:r>
          </w:p>
        </w:tc>
      </w:tr>
      <w:tr w:rsidR="00063D5A" w14:paraId="2BC8A0AA" w14:textId="77777777" w:rsidTr="00063D5A">
        <w:tc>
          <w:tcPr>
            <w:tcW w:w="3952" w:type="dxa"/>
          </w:tcPr>
          <w:p w14:paraId="43034FD7" w14:textId="71B0041C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Subcarrier spacing (KHz)</w:t>
            </w:r>
          </w:p>
        </w:tc>
        <w:tc>
          <w:tcPr>
            <w:tcW w:w="4500" w:type="dxa"/>
          </w:tcPr>
          <w:p w14:paraId="711ACA1D" w14:textId="0FE57B18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15</w:t>
            </w:r>
          </w:p>
        </w:tc>
      </w:tr>
      <w:tr w:rsidR="00063D5A" w14:paraId="3B4CEC9F" w14:textId="77777777" w:rsidTr="00063D5A">
        <w:tc>
          <w:tcPr>
            <w:tcW w:w="3952" w:type="dxa"/>
          </w:tcPr>
          <w:p w14:paraId="4AC86369" w14:textId="089A8F73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CP duration (us)</w:t>
            </w:r>
          </w:p>
        </w:tc>
        <w:tc>
          <w:tcPr>
            <w:tcW w:w="4500" w:type="dxa"/>
          </w:tcPr>
          <w:p w14:paraId="049AA231" w14:textId="758E5B93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4.7</w:t>
            </w:r>
          </w:p>
        </w:tc>
      </w:tr>
      <w:tr w:rsidR="00063D5A" w14:paraId="2288E1DC" w14:textId="77777777" w:rsidTr="00063D5A">
        <w:tc>
          <w:tcPr>
            <w:tcW w:w="3952" w:type="dxa"/>
          </w:tcPr>
          <w:p w14:paraId="111E59CB" w14:textId="6E9DF01A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lastRenderedPageBreak/>
              <w:t>FFT Size</w:t>
            </w:r>
          </w:p>
        </w:tc>
        <w:tc>
          <w:tcPr>
            <w:tcW w:w="4500" w:type="dxa"/>
          </w:tcPr>
          <w:p w14:paraId="546785E7" w14:textId="3C1113DA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1024</w:t>
            </w:r>
          </w:p>
        </w:tc>
      </w:tr>
      <w:tr w:rsidR="00063D5A" w14:paraId="4073AB51" w14:textId="77777777" w:rsidTr="00063D5A">
        <w:trPr>
          <w:trHeight w:val="426"/>
        </w:trPr>
        <w:tc>
          <w:tcPr>
            <w:tcW w:w="3952" w:type="dxa"/>
          </w:tcPr>
          <w:p w14:paraId="784D80D2" w14:textId="22E57489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Transmission Bandwidth (RBs)</w:t>
            </w:r>
          </w:p>
        </w:tc>
        <w:tc>
          <w:tcPr>
            <w:tcW w:w="4500" w:type="dxa"/>
          </w:tcPr>
          <w:p w14:paraId="5053F891" w14:textId="715C0751" w:rsidR="00BB7DE1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50</w:t>
            </w:r>
          </w:p>
        </w:tc>
      </w:tr>
      <w:tr w:rsidR="00063D5A" w14:paraId="64316B5D" w14:textId="77777777" w:rsidTr="00063D5A">
        <w:tc>
          <w:tcPr>
            <w:tcW w:w="3952" w:type="dxa"/>
          </w:tcPr>
          <w:p w14:paraId="586A23E5" w14:textId="4EF7C4DE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Antenna configuration</w:t>
            </w:r>
          </w:p>
        </w:tc>
        <w:tc>
          <w:tcPr>
            <w:tcW w:w="4500" w:type="dxa"/>
          </w:tcPr>
          <w:p w14:paraId="7AEFFFB3" w14:textId="12485257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1T1R, 2T2R, 4T4R</w:t>
            </w:r>
          </w:p>
        </w:tc>
      </w:tr>
      <w:tr w:rsidR="00063D5A" w14:paraId="546C66CD" w14:textId="77777777" w:rsidTr="00063D5A">
        <w:tc>
          <w:tcPr>
            <w:tcW w:w="3952" w:type="dxa"/>
          </w:tcPr>
          <w:p w14:paraId="24770922" w14:textId="7B8B9756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Rank</w:t>
            </w:r>
          </w:p>
        </w:tc>
        <w:tc>
          <w:tcPr>
            <w:tcW w:w="4500" w:type="dxa"/>
          </w:tcPr>
          <w:p w14:paraId="05A635D9" w14:textId="3BFC7659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Fixed rank</w:t>
            </w:r>
          </w:p>
        </w:tc>
      </w:tr>
      <w:tr w:rsidR="00063D5A" w14:paraId="56E5B940" w14:textId="77777777" w:rsidTr="00063D5A">
        <w:tc>
          <w:tcPr>
            <w:tcW w:w="3952" w:type="dxa"/>
          </w:tcPr>
          <w:p w14:paraId="3C8CF00F" w14:textId="5F55022E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MCS</w:t>
            </w:r>
          </w:p>
        </w:tc>
        <w:tc>
          <w:tcPr>
            <w:tcW w:w="4500" w:type="dxa"/>
          </w:tcPr>
          <w:p w14:paraId="05E2550E" w14:textId="3C016F2B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 xml:space="preserve">Fixed: 16QAM </w:t>
            </w:r>
            <w:r w:rsidR="00202B47">
              <w:t xml:space="preserve">rate </w:t>
            </w:r>
            <w:r>
              <w:t xml:space="preserve">½, 64QAM </w:t>
            </w:r>
            <w:r w:rsidR="00202B47">
              <w:t xml:space="preserve">rate </w:t>
            </w:r>
            <w:r>
              <w:t xml:space="preserve">½ </w:t>
            </w:r>
          </w:p>
        </w:tc>
      </w:tr>
      <w:tr w:rsidR="00063D5A" w14:paraId="21A428B9" w14:textId="77777777" w:rsidTr="00063D5A">
        <w:tc>
          <w:tcPr>
            <w:tcW w:w="3952" w:type="dxa"/>
          </w:tcPr>
          <w:p w14:paraId="4872FF0B" w14:textId="2DBA2E72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Control and pilot overhead</w:t>
            </w:r>
          </w:p>
        </w:tc>
        <w:tc>
          <w:tcPr>
            <w:tcW w:w="4500" w:type="dxa"/>
          </w:tcPr>
          <w:p w14:paraId="7EAF2ED2" w14:textId="5A949418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None</w:t>
            </w:r>
          </w:p>
        </w:tc>
      </w:tr>
      <w:tr w:rsidR="00063D5A" w14:paraId="72A5F677" w14:textId="77777777" w:rsidTr="00063D5A">
        <w:tc>
          <w:tcPr>
            <w:tcW w:w="3952" w:type="dxa"/>
          </w:tcPr>
          <w:p w14:paraId="5B27483A" w14:textId="11023DE7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 xml:space="preserve">Channel estimation </w:t>
            </w:r>
          </w:p>
        </w:tc>
        <w:tc>
          <w:tcPr>
            <w:tcW w:w="4500" w:type="dxa"/>
          </w:tcPr>
          <w:p w14:paraId="0D0ACEA3" w14:textId="1E0D90F3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Ideal</w:t>
            </w:r>
          </w:p>
        </w:tc>
      </w:tr>
      <w:tr w:rsidR="00063D5A" w14:paraId="2992DA5A" w14:textId="77777777" w:rsidTr="00063D5A">
        <w:tc>
          <w:tcPr>
            <w:tcW w:w="3952" w:type="dxa"/>
          </w:tcPr>
          <w:p w14:paraId="52264452" w14:textId="097E7F71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Channel model</w:t>
            </w:r>
          </w:p>
        </w:tc>
        <w:tc>
          <w:tcPr>
            <w:tcW w:w="4500" w:type="dxa"/>
          </w:tcPr>
          <w:p w14:paraId="2117CFFD" w14:textId="7291A46F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TDL-C, DS = 300ns</w:t>
            </w:r>
          </w:p>
        </w:tc>
      </w:tr>
      <w:tr w:rsidR="00063D5A" w14:paraId="122CCF97" w14:textId="77777777" w:rsidTr="00063D5A">
        <w:tc>
          <w:tcPr>
            <w:tcW w:w="3952" w:type="dxa"/>
          </w:tcPr>
          <w:p w14:paraId="75175080" w14:textId="57D11839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UE speed (km/h)</w:t>
            </w:r>
          </w:p>
        </w:tc>
        <w:tc>
          <w:tcPr>
            <w:tcW w:w="4500" w:type="dxa"/>
          </w:tcPr>
          <w:p w14:paraId="1A783F9B" w14:textId="0B9B1B5A" w:rsidR="00180FE2" w:rsidRDefault="00180FE2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30, 120</w:t>
            </w:r>
          </w:p>
        </w:tc>
      </w:tr>
      <w:tr w:rsidR="00063D5A" w14:paraId="0566AC97" w14:textId="77777777" w:rsidTr="00063D5A">
        <w:tc>
          <w:tcPr>
            <w:tcW w:w="3952" w:type="dxa"/>
          </w:tcPr>
          <w:p w14:paraId="01105449" w14:textId="652D6AD4" w:rsidR="00180FE2" w:rsidRDefault="0000330E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Receiver</w:t>
            </w:r>
          </w:p>
        </w:tc>
        <w:tc>
          <w:tcPr>
            <w:tcW w:w="4500" w:type="dxa"/>
          </w:tcPr>
          <w:p w14:paraId="6A7E2BE4" w14:textId="7BF5CFC7" w:rsidR="0000330E" w:rsidRDefault="0000330E" w:rsidP="00263AE0">
            <w:pPr>
              <w:pStyle w:val="EX"/>
              <w:tabs>
                <w:tab w:val="left" w:pos="426"/>
              </w:tabs>
              <w:ind w:left="0" w:firstLine="0"/>
            </w:pPr>
            <w:r>
              <w:t>OTFS: Turbo Equalizer, OFDM: Reduced ML</w:t>
            </w:r>
          </w:p>
        </w:tc>
      </w:tr>
    </w:tbl>
    <w:p w14:paraId="5A3333CD" w14:textId="77777777" w:rsidR="00263AE0" w:rsidRDefault="00263AE0" w:rsidP="00263AE0">
      <w:pPr>
        <w:pStyle w:val="EX"/>
        <w:tabs>
          <w:tab w:val="left" w:pos="426"/>
        </w:tabs>
        <w:ind w:left="0" w:firstLine="0"/>
      </w:pPr>
    </w:p>
    <w:sectPr w:rsidR="00263AE0" w:rsidSect="00877659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CBC24" w14:textId="77777777" w:rsidR="008F73C9" w:rsidRDefault="008F73C9">
      <w:r>
        <w:separator/>
      </w:r>
    </w:p>
  </w:endnote>
  <w:endnote w:type="continuationSeparator" w:id="0">
    <w:p w14:paraId="1F83C35C" w14:textId="77777777" w:rsidR="008F73C9" w:rsidRDefault="008F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E470" w14:textId="77777777" w:rsidR="00CB77CA" w:rsidRDefault="00CB77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F2EA7" w14:textId="77777777" w:rsidR="008F73C9" w:rsidRDefault="008F73C9">
      <w:r>
        <w:separator/>
      </w:r>
    </w:p>
  </w:footnote>
  <w:footnote w:type="continuationSeparator" w:id="0">
    <w:p w14:paraId="2203CAE7" w14:textId="77777777" w:rsidR="008F73C9" w:rsidRDefault="008F7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8146E" w14:textId="4F50527E" w:rsidR="00CB77CA" w:rsidRDefault="00CB77C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42328">
      <w:t>1</w:t>
    </w:r>
    <w:r>
      <w:fldChar w:fldCharType="end"/>
    </w:r>
  </w:p>
  <w:p w14:paraId="50F47B3A" w14:textId="77777777" w:rsidR="00CB77CA" w:rsidRDefault="00CB7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87FB6"/>
    <w:multiLevelType w:val="hybridMultilevel"/>
    <w:tmpl w:val="0B08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5611E"/>
    <w:multiLevelType w:val="hybridMultilevel"/>
    <w:tmpl w:val="4C941B00"/>
    <w:lvl w:ilvl="0" w:tplc="B41E8A48">
      <w:start w:val="1"/>
      <w:numFmt w:val="decimal"/>
      <w:pStyle w:val="Figures"/>
      <w:lvlText w:val="Figure %1.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D4C0A"/>
    <w:multiLevelType w:val="hybridMultilevel"/>
    <w:tmpl w:val="D4262F38"/>
    <w:lvl w:ilvl="0" w:tplc="4C782786">
      <w:start w:val="1"/>
      <w:numFmt w:val="decimal"/>
      <w:pStyle w:val="Tableheading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54110"/>
    <w:multiLevelType w:val="hybridMultilevel"/>
    <w:tmpl w:val="9448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7047D"/>
    <w:multiLevelType w:val="hybridMultilevel"/>
    <w:tmpl w:val="9C76CCE2"/>
    <w:lvl w:ilvl="0" w:tplc="5082E4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207"/>
    <w:multiLevelType w:val="hybridMultilevel"/>
    <w:tmpl w:val="FEA0FF18"/>
    <w:lvl w:ilvl="0" w:tplc="D7709F2E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D242CCE"/>
    <w:multiLevelType w:val="hybridMultilevel"/>
    <w:tmpl w:val="429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330E"/>
    <w:rsid w:val="00006969"/>
    <w:rsid w:val="00007306"/>
    <w:rsid w:val="00012ACD"/>
    <w:rsid w:val="00016B08"/>
    <w:rsid w:val="000222BD"/>
    <w:rsid w:val="00025D15"/>
    <w:rsid w:val="00026227"/>
    <w:rsid w:val="00031E5F"/>
    <w:rsid w:val="00033EA2"/>
    <w:rsid w:val="00035CBA"/>
    <w:rsid w:val="00037E6A"/>
    <w:rsid w:val="00037FE8"/>
    <w:rsid w:val="00041B82"/>
    <w:rsid w:val="000441FC"/>
    <w:rsid w:val="0004681E"/>
    <w:rsid w:val="00047097"/>
    <w:rsid w:val="00054506"/>
    <w:rsid w:val="0005588E"/>
    <w:rsid w:val="00056CE7"/>
    <w:rsid w:val="000610A8"/>
    <w:rsid w:val="00062A4B"/>
    <w:rsid w:val="00063D5A"/>
    <w:rsid w:val="000640A9"/>
    <w:rsid w:val="00064C08"/>
    <w:rsid w:val="0006629F"/>
    <w:rsid w:val="0007002B"/>
    <w:rsid w:val="00071E73"/>
    <w:rsid w:val="000759B7"/>
    <w:rsid w:val="00075CBE"/>
    <w:rsid w:val="00077D83"/>
    <w:rsid w:val="00085CD2"/>
    <w:rsid w:val="0008657A"/>
    <w:rsid w:val="00096FE3"/>
    <w:rsid w:val="000A16F0"/>
    <w:rsid w:val="000A4047"/>
    <w:rsid w:val="000A6AEA"/>
    <w:rsid w:val="000A78B4"/>
    <w:rsid w:val="000B1ACD"/>
    <w:rsid w:val="000C1E26"/>
    <w:rsid w:val="000C427A"/>
    <w:rsid w:val="000C49E6"/>
    <w:rsid w:val="000C51A5"/>
    <w:rsid w:val="000C6222"/>
    <w:rsid w:val="000C7286"/>
    <w:rsid w:val="000C7BCE"/>
    <w:rsid w:val="000D0D94"/>
    <w:rsid w:val="000D5401"/>
    <w:rsid w:val="000E12A0"/>
    <w:rsid w:val="000E3369"/>
    <w:rsid w:val="000E75FA"/>
    <w:rsid w:val="000E7CA9"/>
    <w:rsid w:val="000F43C6"/>
    <w:rsid w:val="000F48DD"/>
    <w:rsid w:val="000F54E9"/>
    <w:rsid w:val="0010284F"/>
    <w:rsid w:val="001044FE"/>
    <w:rsid w:val="00105B5C"/>
    <w:rsid w:val="001106F5"/>
    <w:rsid w:val="00114CB5"/>
    <w:rsid w:val="00117922"/>
    <w:rsid w:val="00120975"/>
    <w:rsid w:val="00137D1E"/>
    <w:rsid w:val="00141650"/>
    <w:rsid w:val="00142C2C"/>
    <w:rsid w:val="0014510B"/>
    <w:rsid w:val="00151B79"/>
    <w:rsid w:val="0015672D"/>
    <w:rsid w:val="001674FD"/>
    <w:rsid w:val="00177C1B"/>
    <w:rsid w:val="0018079D"/>
    <w:rsid w:val="00180FE2"/>
    <w:rsid w:val="001821F3"/>
    <w:rsid w:val="001829B7"/>
    <w:rsid w:val="00182D38"/>
    <w:rsid w:val="00183712"/>
    <w:rsid w:val="00183D17"/>
    <w:rsid w:val="001842B1"/>
    <w:rsid w:val="0018639A"/>
    <w:rsid w:val="0019217D"/>
    <w:rsid w:val="00192CAC"/>
    <w:rsid w:val="00196BDD"/>
    <w:rsid w:val="001A111F"/>
    <w:rsid w:val="001A29D8"/>
    <w:rsid w:val="001A30E5"/>
    <w:rsid w:val="001A6A64"/>
    <w:rsid w:val="001B14AF"/>
    <w:rsid w:val="001B3094"/>
    <w:rsid w:val="001B439D"/>
    <w:rsid w:val="001B4858"/>
    <w:rsid w:val="001D13AA"/>
    <w:rsid w:val="001D174E"/>
    <w:rsid w:val="001D1BF9"/>
    <w:rsid w:val="001D1FC8"/>
    <w:rsid w:val="001D2AC5"/>
    <w:rsid w:val="001D3BC5"/>
    <w:rsid w:val="001E36FD"/>
    <w:rsid w:val="001E5475"/>
    <w:rsid w:val="001F1A82"/>
    <w:rsid w:val="001F400F"/>
    <w:rsid w:val="001F70FF"/>
    <w:rsid w:val="001F7121"/>
    <w:rsid w:val="00202B47"/>
    <w:rsid w:val="002030EA"/>
    <w:rsid w:val="00205F6D"/>
    <w:rsid w:val="00206533"/>
    <w:rsid w:val="002070D6"/>
    <w:rsid w:val="00207444"/>
    <w:rsid w:val="00207A28"/>
    <w:rsid w:val="00207CBF"/>
    <w:rsid w:val="00211C68"/>
    <w:rsid w:val="00214276"/>
    <w:rsid w:val="00214685"/>
    <w:rsid w:val="00215AC9"/>
    <w:rsid w:val="00223C3D"/>
    <w:rsid w:val="00223CDA"/>
    <w:rsid w:val="00226D31"/>
    <w:rsid w:val="002331AA"/>
    <w:rsid w:val="00241CA1"/>
    <w:rsid w:val="00242397"/>
    <w:rsid w:val="00254724"/>
    <w:rsid w:val="00255E04"/>
    <w:rsid w:val="00256821"/>
    <w:rsid w:val="00256EDA"/>
    <w:rsid w:val="00262102"/>
    <w:rsid w:val="00263AE0"/>
    <w:rsid w:val="002642C0"/>
    <w:rsid w:val="002707ED"/>
    <w:rsid w:val="00271EBC"/>
    <w:rsid w:val="0027417F"/>
    <w:rsid w:val="002747EA"/>
    <w:rsid w:val="00280996"/>
    <w:rsid w:val="00281FB1"/>
    <w:rsid w:val="002842B7"/>
    <w:rsid w:val="00285522"/>
    <w:rsid w:val="00287047"/>
    <w:rsid w:val="0028726E"/>
    <w:rsid w:val="00295C0C"/>
    <w:rsid w:val="002972F0"/>
    <w:rsid w:val="0029776F"/>
    <w:rsid w:val="002A3B44"/>
    <w:rsid w:val="002A3F15"/>
    <w:rsid w:val="002A5DDB"/>
    <w:rsid w:val="002A7625"/>
    <w:rsid w:val="002B04BC"/>
    <w:rsid w:val="002B09A1"/>
    <w:rsid w:val="002B09BC"/>
    <w:rsid w:val="002B6883"/>
    <w:rsid w:val="002B75CC"/>
    <w:rsid w:val="002C338A"/>
    <w:rsid w:val="002C57EA"/>
    <w:rsid w:val="002D45D6"/>
    <w:rsid w:val="002D5645"/>
    <w:rsid w:val="002D5C59"/>
    <w:rsid w:val="002E5369"/>
    <w:rsid w:val="002E5544"/>
    <w:rsid w:val="002E6A0C"/>
    <w:rsid w:val="002E7537"/>
    <w:rsid w:val="002E7620"/>
    <w:rsid w:val="002F1FE8"/>
    <w:rsid w:val="0030028C"/>
    <w:rsid w:val="00303BCA"/>
    <w:rsid w:val="00304B49"/>
    <w:rsid w:val="00306CEB"/>
    <w:rsid w:val="00307551"/>
    <w:rsid w:val="00307ED9"/>
    <w:rsid w:val="00311202"/>
    <w:rsid w:val="00317A4B"/>
    <w:rsid w:val="003201AA"/>
    <w:rsid w:val="003202E6"/>
    <w:rsid w:val="003208E0"/>
    <w:rsid w:val="00322EE4"/>
    <w:rsid w:val="00326412"/>
    <w:rsid w:val="00326613"/>
    <w:rsid w:val="00331785"/>
    <w:rsid w:val="00332CBD"/>
    <w:rsid w:val="003357C6"/>
    <w:rsid w:val="003422B1"/>
    <w:rsid w:val="00344CB3"/>
    <w:rsid w:val="00344E8F"/>
    <w:rsid w:val="00347CA7"/>
    <w:rsid w:val="0035254E"/>
    <w:rsid w:val="0035469B"/>
    <w:rsid w:val="0036137F"/>
    <w:rsid w:val="003654AD"/>
    <w:rsid w:val="00367E8C"/>
    <w:rsid w:val="00371810"/>
    <w:rsid w:val="00375E32"/>
    <w:rsid w:val="00375FFD"/>
    <w:rsid w:val="00377BBF"/>
    <w:rsid w:val="003808B7"/>
    <w:rsid w:val="00381AC0"/>
    <w:rsid w:val="00383B29"/>
    <w:rsid w:val="003860CC"/>
    <w:rsid w:val="00386A70"/>
    <w:rsid w:val="00387AF1"/>
    <w:rsid w:val="0039049B"/>
    <w:rsid w:val="00390BA1"/>
    <w:rsid w:val="00390E18"/>
    <w:rsid w:val="003923AE"/>
    <w:rsid w:val="003946EA"/>
    <w:rsid w:val="003A07F3"/>
    <w:rsid w:val="003A14FA"/>
    <w:rsid w:val="003A16E8"/>
    <w:rsid w:val="003A2437"/>
    <w:rsid w:val="003A3238"/>
    <w:rsid w:val="003A5D0A"/>
    <w:rsid w:val="003B0B29"/>
    <w:rsid w:val="003B4A80"/>
    <w:rsid w:val="003B76CE"/>
    <w:rsid w:val="003B7B78"/>
    <w:rsid w:val="003C2782"/>
    <w:rsid w:val="003C5C42"/>
    <w:rsid w:val="003C6440"/>
    <w:rsid w:val="003D7E75"/>
    <w:rsid w:val="003E0651"/>
    <w:rsid w:val="003E635E"/>
    <w:rsid w:val="003E6D26"/>
    <w:rsid w:val="003F27E4"/>
    <w:rsid w:val="003F2A22"/>
    <w:rsid w:val="003F37DF"/>
    <w:rsid w:val="003F3D59"/>
    <w:rsid w:val="003F3F8C"/>
    <w:rsid w:val="003F49ED"/>
    <w:rsid w:val="003F4F61"/>
    <w:rsid w:val="00401BB7"/>
    <w:rsid w:val="00403F5D"/>
    <w:rsid w:val="00415A63"/>
    <w:rsid w:val="004204EF"/>
    <w:rsid w:val="00420B96"/>
    <w:rsid w:val="00421371"/>
    <w:rsid w:val="004217FA"/>
    <w:rsid w:val="00422467"/>
    <w:rsid w:val="00426E24"/>
    <w:rsid w:val="004279D0"/>
    <w:rsid w:val="0043080C"/>
    <w:rsid w:val="00434973"/>
    <w:rsid w:val="00441DE2"/>
    <w:rsid w:val="004420ED"/>
    <w:rsid w:val="00442658"/>
    <w:rsid w:val="0044312B"/>
    <w:rsid w:val="00445199"/>
    <w:rsid w:val="004515D2"/>
    <w:rsid w:val="00452167"/>
    <w:rsid w:val="00452FB1"/>
    <w:rsid w:val="00454274"/>
    <w:rsid w:val="004543D9"/>
    <w:rsid w:val="004553EB"/>
    <w:rsid w:val="004553F9"/>
    <w:rsid w:val="0045615A"/>
    <w:rsid w:val="0046086A"/>
    <w:rsid w:val="00463267"/>
    <w:rsid w:val="00464ED6"/>
    <w:rsid w:val="004679DD"/>
    <w:rsid w:val="004700B4"/>
    <w:rsid w:val="00474377"/>
    <w:rsid w:val="00481689"/>
    <w:rsid w:val="00484729"/>
    <w:rsid w:val="00485875"/>
    <w:rsid w:val="00487DCB"/>
    <w:rsid w:val="00492FD5"/>
    <w:rsid w:val="004952F7"/>
    <w:rsid w:val="00497E33"/>
    <w:rsid w:val="004A506F"/>
    <w:rsid w:val="004A74F1"/>
    <w:rsid w:val="004A754A"/>
    <w:rsid w:val="004A7B12"/>
    <w:rsid w:val="004B572E"/>
    <w:rsid w:val="004B7FF8"/>
    <w:rsid w:val="004C037D"/>
    <w:rsid w:val="004C76D9"/>
    <w:rsid w:val="004D23DA"/>
    <w:rsid w:val="004D4001"/>
    <w:rsid w:val="004D731D"/>
    <w:rsid w:val="004E716B"/>
    <w:rsid w:val="004F1DCA"/>
    <w:rsid w:val="004F350C"/>
    <w:rsid w:val="004F38FC"/>
    <w:rsid w:val="004F6117"/>
    <w:rsid w:val="00503F2E"/>
    <w:rsid w:val="0050457A"/>
    <w:rsid w:val="00504D2F"/>
    <w:rsid w:val="00510FAB"/>
    <w:rsid w:val="0051398B"/>
    <w:rsid w:val="005147B9"/>
    <w:rsid w:val="005151FD"/>
    <w:rsid w:val="00521DC9"/>
    <w:rsid w:val="00522112"/>
    <w:rsid w:val="005238FD"/>
    <w:rsid w:val="005279E9"/>
    <w:rsid w:val="0053491F"/>
    <w:rsid w:val="005403D2"/>
    <w:rsid w:val="005434B3"/>
    <w:rsid w:val="0054560C"/>
    <w:rsid w:val="00547B1C"/>
    <w:rsid w:val="00551FC0"/>
    <w:rsid w:val="00553DBD"/>
    <w:rsid w:val="00555FB1"/>
    <w:rsid w:val="00556ED2"/>
    <w:rsid w:val="00560F39"/>
    <w:rsid w:val="005660E4"/>
    <w:rsid w:val="00567802"/>
    <w:rsid w:val="00570DD0"/>
    <w:rsid w:val="005746A3"/>
    <w:rsid w:val="00574AB3"/>
    <w:rsid w:val="00577339"/>
    <w:rsid w:val="00580F5C"/>
    <w:rsid w:val="00582721"/>
    <w:rsid w:val="00586217"/>
    <w:rsid w:val="005864F8"/>
    <w:rsid w:val="005905B7"/>
    <w:rsid w:val="00591EB5"/>
    <w:rsid w:val="0059205F"/>
    <w:rsid w:val="00593F90"/>
    <w:rsid w:val="005A15A1"/>
    <w:rsid w:val="005A4A5B"/>
    <w:rsid w:val="005B105E"/>
    <w:rsid w:val="005B39F5"/>
    <w:rsid w:val="005C0119"/>
    <w:rsid w:val="005C4917"/>
    <w:rsid w:val="005D40F5"/>
    <w:rsid w:val="005E1D1A"/>
    <w:rsid w:val="005E2493"/>
    <w:rsid w:val="005E2BA4"/>
    <w:rsid w:val="005E3B9A"/>
    <w:rsid w:val="005E5ADB"/>
    <w:rsid w:val="005F3BD8"/>
    <w:rsid w:val="005F3E2D"/>
    <w:rsid w:val="00600FFC"/>
    <w:rsid w:val="00601BC3"/>
    <w:rsid w:val="006036A3"/>
    <w:rsid w:val="00606809"/>
    <w:rsid w:val="006129B9"/>
    <w:rsid w:val="00617FF4"/>
    <w:rsid w:val="00620AA9"/>
    <w:rsid w:val="0062130A"/>
    <w:rsid w:val="0062254D"/>
    <w:rsid w:val="00630375"/>
    <w:rsid w:val="00632609"/>
    <w:rsid w:val="0063272B"/>
    <w:rsid w:val="00633A56"/>
    <w:rsid w:val="0064030C"/>
    <w:rsid w:val="006411E3"/>
    <w:rsid w:val="00647BD1"/>
    <w:rsid w:val="00647CEA"/>
    <w:rsid w:val="006512BE"/>
    <w:rsid w:val="0065265E"/>
    <w:rsid w:val="006548E8"/>
    <w:rsid w:val="00654C4C"/>
    <w:rsid w:val="006651FB"/>
    <w:rsid w:val="00665AD8"/>
    <w:rsid w:val="00666A05"/>
    <w:rsid w:val="00670DFF"/>
    <w:rsid w:val="00673902"/>
    <w:rsid w:val="006775CE"/>
    <w:rsid w:val="00686DFD"/>
    <w:rsid w:val="00687489"/>
    <w:rsid w:val="0069088B"/>
    <w:rsid w:val="0069149D"/>
    <w:rsid w:val="00693605"/>
    <w:rsid w:val="00694AC9"/>
    <w:rsid w:val="006A1A1F"/>
    <w:rsid w:val="006A1ABF"/>
    <w:rsid w:val="006A4062"/>
    <w:rsid w:val="006A7BA9"/>
    <w:rsid w:val="006C0659"/>
    <w:rsid w:val="006C2491"/>
    <w:rsid w:val="006C29B0"/>
    <w:rsid w:val="006C4F43"/>
    <w:rsid w:val="006C61D3"/>
    <w:rsid w:val="006C658F"/>
    <w:rsid w:val="006D01A2"/>
    <w:rsid w:val="006D0716"/>
    <w:rsid w:val="006D3937"/>
    <w:rsid w:val="006D422D"/>
    <w:rsid w:val="006D4F4A"/>
    <w:rsid w:val="006D674C"/>
    <w:rsid w:val="006E1859"/>
    <w:rsid w:val="006E1F9E"/>
    <w:rsid w:val="006E5C5F"/>
    <w:rsid w:val="006E5D78"/>
    <w:rsid w:val="006F0D00"/>
    <w:rsid w:val="006F5239"/>
    <w:rsid w:val="006F6318"/>
    <w:rsid w:val="006F6FBA"/>
    <w:rsid w:val="0070012C"/>
    <w:rsid w:val="00701C5E"/>
    <w:rsid w:val="00705661"/>
    <w:rsid w:val="00710D20"/>
    <w:rsid w:val="0071165F"/>
    <w:rsid w:val="00715627"/>
    <w:rsid w:val="00717F51"/>
    <w:rsid w:val="00723EAC"/>
    <w:rsid w:val="00724779"/>
    <w:rsid w:val="00732CF5"/>
    <w:rsid w:val="00737900"/>
    <w:rsid w:val="00741917"/>
    <w:rsid w:val="007458A8"/>
    <w:rsid w:val="0074594C"/>
    <w:rsid w:val="00751D52"/>
    <w:rsid w:val="00751E95"/>
    <w:rsid w:val="007553F2"/>
    <w:rsid w:val="0076136C"/>
    <w:rsid w:val="00763237"/>
    <w:rsid w:val="00763EB9"/>
    <w:rsid w:val="00772666"/>
    <w:rsid w:val="0077514C"/>
    <w:rsid w:val="00780650"/>
    <w:rsid w:val="00782CFD"/>
    <w:rsid w:val="007A14AA"/>
    <w:rsid w:val="007B2B03"/>
    <w:rsid w:val="007B30E4"/>
    <w:rsid w:val="007B5472"/>
    <w:rsid w:val="007B5D8D"/>
    <w:rsid w:val="007B6E50"/>
    <w:rsid w:val="007B7612"/>
    <w:rsid w:val="007C185A"/>
    <w:rsid w:val="007C2142"/>
    <w:rsid w:val="007C2794"/>
    <w:rsid w:val="007C47F9"/>
    <w:rsid w:val="007D1BCB"/>
    <w:rsid w:val="007D4168"/>
    <w:rsid w:val="007E1897"/>
    <w:rsid w:val="007E3052"/>
    <w:rsid w:val="007E3323"/>
    <w:rsid w:val="007F0413"/>
    <w:rsid w:val="007F3642"/>
    <w:rsid w:val="007F52A8"/>
    <w:rsid w:val="00800946"/>
    <w:rsid w:val="00801774"/>
    <w:rsid w:val="00804111"/>
    <w:rsid w:val="00813351"/>
    <w:rsid w:val="00813E77"/>
    <w:rsid w:val="0082208E"/>
    <w:rsid w:val="00822284"/>
    <w:rsid w:val="0082312F"/>
    <w:rsid w:val="00825C35"/>
    <w:rsid w:val="0083584F"/>
    <w:rsid w:val="00836992"/>
    <w:rsid w:val="00836E91"/>
    <w:rsid w:val="008372A0"/>
    <w:rsid w:val="00840976"/>
    <w:rsid w:val="008411A4"/>
    <w:rsid w:val="00844C88"/>
    <w:rsid w:val="008455E8"/>
    <w:rsid w:val="00863604"/>
    <w:rsid w:val="00875A50"/>
    <w:rsid w:val="008761D2"/>
    <w:rsid w:val="008769A0"/>
    <w:rsid w:val="00877659"/>
    <w:rsid w:val="00880820"/>
    <w:rsid w:val="00884D2B"/>
    <w:rsid w:val="0088574F"/>
    <w:rsid w:val="008861B9"/>
    <w:rsid w:val="00887E86"/>
    <w:rsid w:val="00893669"/>
    <w:rsid w:val="00894983"/>
    <w:rsid w:val="00897E62"/>
    <w:rsid w:val="008A04BD"/>
    <w:rsid w:val="008A084B"/>
    <w:rsid w:val="008A1910"/>
    <w:rsid w:val="008A2639"/>
    <w:rsid w:val="008A335E"/>
    <w:rsid w:val="008A5993"/>
    <w:rsid w:val="008A5D4B"/>
    <w:rsid w:val="008A5E6F"/>
    <w:rsid w:val="008A75DC"/>
    <w:rsid w:val="008B0BD9"/>
    <w:rsid w:val="008B1EC1"/>
    <w:rsid w:val="008B2A4B"/>
    <w:rsid w:val="008B2D28"/>
    <w:rsid w:val="008B329E"/>
    <w:rsid w:val="008B34F0"/>
    <w:rsid w:val="008B4AB1"/>
    <w:rsid w:val="008B5659"/>
    <w:rsid w:val="008B5BC1"/>
    <w:rsid w:val="008B64EC"/>
    <w:rsid w:val="008B6CF4"/>
    <w:rsid w:val="008C5E7F"/>
    <w:rsid w:val="008C63E9"/>
    <w:rsid w:val="008C6B3E"/>
    <w:rsid w:val="008C6BD9"/>
    <w:rsid w:val="008D1B4F"/>
    <w:rsid w:val="008D5F97"/>
    <w:rsid w:val="008E357E"/>
    <w:rsid w:val="008E6C85"/>
    <w:rsid w:val="008E710D"/>
    <w:rsid w:val="008F045D"/>
    <w:rsid w:val="008F1FBE"/>
    <w:rsid w:val="008F2ADC"/>
    <w:rsid w:val="008F683B"/>
    <w:rsid w:val="008F73C9"/>
    <w:rsid w:val="00900FAD"/>
    <w:rsid w:val="0090281B"/>
    <w:rsid w:val="009029CF"/>
    <w:rsid w:val="00902D90"/>
    <w:rsid w:val="00903171"/>
    <w:rsid w:val="00905E83"/>
    <w:rsid w:val="00910C30"/>
    <w:rsid w:val="00913DF5"/>
    <w:rsid w:val="0091668B"/>
    <w:rsid w:val="00922CAE"/>
    <w:rsid w:val="00924C40"/>
    <w:rsid w:val="00925065"/>
    <w:rsid w:val="00925FB3"/>
    <w:rsid w:val="009307BC"/>
    <w:rsid w:val="00930FB8"/>
    <w:rsid w:val="00931400"/>
    <w:rsid w:val="0093287F"/>
    <w:rsid w:val="0093317F"/>
    <w:rsid w:val="0093357A"/>
    <w:rsid w:val="0093551B"/>
    <w:rsid w:val="00935FCE"/>
    <w:rsid w:val="0094041E"/>
    <w:rsid w:val="00942D92"/>
    <w:rsid w:val="00943D5E"/>
    <w:rsid w:val="009475B7"/>
    <w:rsid w:val="00950336"/>
    <w:rsid w:val="00951447"/>
    <w:rsid w:val="00956578"/>
    <w:rsid w:val="00956EBC"/>
    <w:rsid w:val="00960365"/>
    <w:rsid w:val="009655EE"/>
    <w:rsid w:val="00965AE2"/>
    <w:rsid w:val="00965B66"/>
    <w:rsid w:val="00967C73"/>
    <w:rsid w:val="00971AFE"/>
    <w:rsid w:val="00976D17"/>
    <w:rsid w:val="00977410"/>
    <w:rsid w:val="0098104C"/>
    <w:rsid w:val="00987949"/>
    <w:rsid w:val="0099017F"/>
    <w:rsid w:val="00991DD0"/>
    <w:rsid w:val="00996285"/>
    <w:rsid w:val="009A21ED"/>
    <w:rsid w:val="009A5113"/>
    <w:rsid w:val="009A5F3D"/>
    <w:rsid w:val="009B0C00"/>
    <w:rsid w:val="009B1CF4"/>
    <w:rsid w:val="009B3EFA"/>
    <w:rsid w:val="009B41C8"/>
    <w:rsid w:val="009C1D46"/>
    <w:rsid w:val="009C4802"/>
    <w:rsid w:val="009C4B80"/>
    <w:rsid w:val="009C53CF"/>
    <w:rsid w:val="009D06B1"/>
    <w:rsid w:val="009D55A3"/>
    <w:rsid w:val="009D7853"/>
    <w:rsid w:val="009E10B4"/>
    <w:rsid w:val="009E21A3"/>
    <w:rsid w:val="009E40C2"/>
    <w:rsid w:val="009E50FB"/>
    <w:rsid w:val="009F1504"/>
    <w:rsid w:val="009F1BDD"/>
    <w:rsid w:val="009F27AA"/>
    <w:rsid w:val="009F3A18"/>
    <w:rsid w:val="009F62A6"/>
    <w:rsid w:val="00A01527"/>
    <w:rsid w:val="00A01802"/>
    <w:rsid w:val="00A0202A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24C83"/>
    <w:rsid w:val="00A30221"/>
    <w:rsid w:val="00A314EA"/>
    <w:rsid w:val="00A43A08"/>
    <w:rsid w:val="00A50334"/>
    <w:rsid w:val="00A50697"/>
    <w:rsid w:val="00A52368"/>
    <w:rsid w:val="00A5245D"/>
    <w:rsid w:val="00A52E17"/>
    <w:rsid w:val="00A5561D"/>
    <w:rsid w:val="00A61A21"/>
    <w:rsid w:val="00A64BEC"/>
    <w:rsid w:val="00A71A80"/>
    <w:rsid w:val="00A8211A"/>
    <w:rsid w:val="00A82A7A"/>
    <w:rsid w:val="00A8570D"/>
    <w:rsid w:val="00A86449"/>
    <w:rsid w:val="00A932D8"/>
    <w:rsid w:val="00A9656D"/>
    <w:rsid w:val="00A9796A"/>
    <w:rsid w:val="00AA18B9"/>
    <w:rsid w:val="00AA1BA6"/>
    <w:rsid w:val="00AA45EE"/>
    <w:rsid w:val="00AA5BA4"/>
    <w:rsid w:val="00AA61BB"/>
    <w:rsid w:val="00AA75DC"/>
    <w:rsid w:val="00AB0FB1"/>
    <w:rsid w:val="00AB19CD"/>
    <w:rsid w:val="00AB342C"/>
    <w:rsid w:val="00AB4EDF"/>
    <w:rsid w:val="00AB5B87"/>
    <w:rsid w:val="00AC0BD4"/>
    <w:rsid w:val="00AC0C67"/>
    <w:rsid w:val="00AE2AC4"/>
    <w:rsid w:val="00AF323B"/>
    <w:rsid w:val="00AF5387"/>
    <w:rsid w:val="00AF7239"/>
    <w:rsid w:val="00B001F9"/>
    <w:rsid w:val="00B012E9"/>
    <w:rsid w:val="00B02544"/>
    <w:rsid w:val="00B114C4"/>
    <w:rsid w:val="00B11F5C"/>
    <w:rsid w:val="00B134FF"/>
    <w:rsid w:val="00B13720"/>
    <w:rsid w:val="00B15069"/>
    <w:rsid w:val="00B1621B"/>
    <w:rsid w:val="00B22B2E"/>
    <w:rsid w:val="00B23C6E"/>
    <w:rsid w:val="00B256E1"/>
    <w:rsid w:val="00B25B7A"/>
    <w:rsid w:val="00B26CC0"/>
    <w:rsid w:val="00B31A93"/>
    <w:rsid w:val="00B3347C"/>
    <w:rsid w:val="00B3426F"/>
    <w:rsid w:val="00B42328"/>
    <w:rsid w:val="00B42529"/>
    <w:rsid w:val="00B42B30"/>
    <w:rsid w:val="00B42BC7"/>
    <w:rsid w:val="00B43292"/>
    <w:rsid w:val="00B504EB"/>
    <w:rsid w:val="00B5168A"/>
    <w:rsid w:val="00B5380F"/>
    <w:rsid w:val="00B61FD5"/>
    <w:rsid w:val="00B637E5"/>
    <w:rsid w:val="00B6710C"/>
    <w:rsid w:val="00B67864"/>
    <w:rsid w:val="00B71D8B"/>
    <w:rsid w:val="00B75E16"/>
    <w:rsid w:val="00B75FD8"/>
    <w:rsid w:val="00B777B7"/>
    <w:rsid w:val="00B77E1C"/>
    <w:rsid w:val="00B77F98"/>
    <w:rsid w:val="00B80CB1"/>
    <w:rsid w:val="00B820AA"/>
    <w:rsid w:val="00B83604"/>
    <w:rsid w:val="00B846C1"/>
    <w:rsid w:val="00B85C38"/>
    <w:rsid w:val="00B9030A"/>
    <w:rsid w:val="00B92149"/>
    <w:rsid w:val="00B93711"/>
    <w:rsid w:val="00B972CE"/>
    <w:rsid w:val="00BA4D53"/>
    <w:rsid w:val="00BB3EA9"/>
    <w:rsid w:val="00BB433C"/>
    <w:rsid w:val="00BB7129"/>
    <w:rsid w:val="00BB7DE1"/>
    <w:rsid w:val="00BC5488"/>
    <w:rsid w:val="00BD2F54"/>
    <w:rsid w:val="00BD4C1B"/>
    <w:rsid w:val="00BE1B0E"/>
    <w:rsid w:val="00BF3FB5"/>
    <w:rsid w:val="00C00CD8"/>
    <w:rsid w:val="00C026DE"/>
    <w:rsid w:val="00C03709"/>
    <w:rsid w:val="00C100E0"/>
    <w:rsid w:val="00C10E92"/>
    <w:rsid w:val="00C1144A"/>
    <w:rsid w:val="00C115FF"/>
    <w:rsid w:val="00C13927"/>
    <w:rsid w:val="00C175A6"/>
    <w:rsid w:val="00C21D3E"/>
    <w:rsid w:val="00C27323"/>
    <w:rsid w:val="00C34186"/>
    <w:rsid w:val="00C35928"/>
    <w:rsid w:val="00C40C70"/>
    <w:rsid w:val="00C41747"/>
    <w:rsid w:val="00C55BCD"/>
    <w:rsid w:val="00C63471"/>
    <w:rsid w:val="00C63728"/>
    <w:rsid w:val="00C64FE3"/>
    <w:rsid w:val="00C729B1"/>
    <w:rsid w:val="00C73E09"/>
    <w:rsid w:val="00C74BBD"/>
    <w:rsid w:val="00C74BE0"/>
    <w:rsid w:val="00C74DB9"/>
    <w:rsid w:val="00C74FAE"/>
    <w:rsid w:val="00C838E8"/>
    <w:rsid w:val="00C864C7"/>
    <w:rsid w:val="00C865CF"/>
    <w:rsid w:val="00C91C2E"/>
    <w:rsid w:val="00C91DB0"/>
    <w:rsid w:val="00C91E62"/>
    <w:rsid w:val="00C934F7"/>
    <w:rsid w:val="00C9483C"/>
    <w:rsid w:val="00C95595"/>
    <w:rsid w:val="00C9615B"/>
    <w:rsid w:val="00CB00C2"/>
    <w:rsid w:val="00CB1F9C"/>
    <w:rsid w:val="00CB4B06"/>
    <w:rsid w:val="00CB4CE8"/>
    <w:rsid w:val="00CB5C01"/>
    <w:rsid w:val="00CB6AB9"/>
    <w:rsid w:val="00CB72F9"/>
    <w:rsid w:val="00CB77CA"/>
    <w:rsid w:val="00CC05E0"/>
    <w:rsid w:val="00CC5186"/>
    <w:rsid w:val="00CD593A"/>
    <w:rsid w:val="00CE0F67"/>
    <w:rsid w:val="00CE1496"/>
    <w:rsid w:val="00CF7697"/>
    <w:rsid w:val="00D019DF"/>
    <w:rsid w:val="00D07ED2"/>
    <w:rsid w:val="00D11C40"/>
    <w:rsid w:val="00D133A0"/>
    <w:rsid w:val="00D13CDA"/>
    <w:rsid w:val="00D172E5"/>
    <w:rsid w:val="00D1745F"/>
    <w:rsid w:val="00D20842"/>
    <w:rsid w:val="00D2196B"/>
    <w:rsid w:val="00D22259"/>
    <w:rsid w:val="00D232B0"/>
    <w:rsid w:val="00D25818"/>
    <w:rsid w:val="00D371C0"/>
    <w:rsid w:val="00D37E38"/>
    <w:rsid w:val="00D4097A"/>
    <w:rsid w:val="00D45381"/>
    <w:rsid w:val="00D47D79"/>
    <w:rsid w:val="00D5070C"/>
    <w:rsid w:val="00D51B7B"/>
    <w:rsid w:val="00D561CD"/>
    <w:rsid w:val="00D564C1"/>
    <w:rsid w:val="00D56D23"/>
    <w:rsid w:val="00D62E5D"/>
    <w:rsid w:val="00D64B07"/>
    <w:rsid w:val="00D66027"/>
    <w:rsid w:val="00D7024E"/>
    <w:rsid w:val="00D708F3"/>
    <w:rsid w:val="00D728F1"/>
    <w:rsid w:val="00D7575F"/>
    <w:rsid w:val="00D819C7"/>
    <w:rsid w:val="00D84C40"/>
    <w:rsid w:val="00D90A40"/>
    <w:rsid w:val="00D913E2"/>
    <w:rsid w:val="00DA493F"/>
    <w:rsid w:val="00DA587C"/>
    <w:rsid w:val="00DB4851"/>
    <w:rsid w:val="00DB5D0E"/>
    <w:rsid w:val="00DD0AD4"/>
    <w:rsid w:val="00DD28A3"/>
    <w:rsid w:val="00DD5078"/>
    <w:rsid w:val="00DD5CEF"/>
    <w:rsid w:val="00DE34CF"/>
    <w:rsid w:val="00DE795A"/>
    <w:rsid w:val="00DF1CC0"/>
    <w:rsid w:val="00DF47CC"/>
    <w:rsid w:val="00DF6281"/>
    <w:rsid w:val="00DF7C77"/>
    <w:rsid w:val="00E0122D"/>
    <w:rsid w:val="00E0235B"/>
    <w:rsid w:val="00E03CAB"/>
    <w:rsid w:val="00E04DEB"/>
    <w:rsid w:val="00E05E3E"/>
    <w:rsid w:val="00E06330"/>
    <w:rsid w:val="00E10CD5"/>
    <w:rsid w:val="00E16DF8"/>
    <w:rsid w:val="00E174B2"/>
    <w:rsid w:val="00E20F7F"/>
    <w:rsid w:val="00E22252"/>
    <w:rsid w:val="00E23D50"/>
    <w:rsid w:val="00E259EF"/>
    <w:rsid w:val="00E3608D"/>
    <w:rsid w:val="00E43F3E"/>
    <w:rsid w:val="00E44C43"/>
    <w:rsid w:val="00E453C2"/>
    <w:rsid w:val="00E4544C"/>
    <w:rsid w:val="00E4558C"/>
    <w:rsid w:val="00E50E8C"/>
    <w:rsid w:val="00E511FA"/>
    <w:rsid w:val="00E545C9"/>
    <w:rsid w:val="00E550D0"/>
    <w:rsid w:val="00E57509"/>
    <w:rsid w:val="00E62CFD"/>
    <w:rsid w:val="00E64F49"/>
    <w:rsid w:val="00E72703"/>
    <w:rsid w:val="00E72931"/>
    <w:rsid w:val="00E73F2C"/>
    <w:rsid w:val="00E7628F"/>
    <w:rsid w:val="00E7660A"/>
    <w:rsid w:val="00E77D9C"/>
    <w:rsid w:val="00E81B3F"/>
    <w:rsid w:val="00E8774E"/>
    <w:rsid w:val="00E91255"/>
    <w:rsid w:val="00E91ECB"/>
    <w:rsid w:val="00E9461D"/>
    <w:rsid w:val="00E94CF2"/>
    <w:rsid w:val="00E970BC"/>
    <w:rsid w:val="00E97586"/>
    <w:rsid w:val="00EA0C88"/>
    <w:rsid w:val="00EA3BF0"/>
    <w:rsid w:val="00EA40AD"/>
    <w:rsid w:val="00EA422F"/>
    <w:rsid w:val="00EA7B98"/>
    <w:rsid w:val="00EA7E3D"/>
    <w:rsid w:val="00EB5BEC"/>
    <w:rsid w:val="00EB6AEC"/>
    <w:rsid w:val="00EC0E70"/>
    <w:rsid w:val="00EC2A95"/>
    <w:rsid w:val="00EC535F"/>
    <w:rsid w:val="00ED0BC9"/>
    <w:rsid w:val="00ED23BD"/>
    <w:rsid w:val="00ED290F"/>
    <w:rsid w:val="00ED5873"/>
    <w:rsid w:val="00EE42B5"/>
    <w:rsid w:val="00EE458A"/>
    <w:rsid w:val="00EE472B"/>
    <w:rsid w:val="00EE672B"/>
    <w:rsid w:val="00EF0BB4"/>
    <w:rsid w:val="00EF14CD"/>
    <w:rsid w:val="00EF1D0F"/>
    <w:rsid w:val="00EF3705"/>
    <w:rsid w:val="00EF4AB1"/>
    <w:rsid w:val="00EF5A77"/>
    <w:rsid w:val="00EF5E40"/>
    <w:rsid w:val="00F00D92"/>
    <w:rsid w:val="00F00F56"/>
    <w:rsid w:val="00F02D9D"/>
    <w:rsid w:val="00F05D5E"/>
    <w:rsid w:val="00F05F39"/>
    <w:rsid w:val="00F143EC"/>
    <w:rsid w:val="00F14F9C"/>
    <w:rsid w:val="00F245A7"/>
    <w:rsid w:val="00F34E8D"/>
    <w:rsid w:val="00F356E1"/>
    <w:rsid w:val="00F3707B"/>
    <w:rsid w:val="00F37F91"/>
    <w:rsid w:val="00F45496"/>
    <w:rsid w:val="00F500E6"/>
    <w:rsid w:val="00F50C74"/>
    <w:rsid w:val="00F54FE3"/>
    <w:rsid w:val="00F56168"/>
    <w:rsid w:val="00F572E9"/>
    <w:rsid w:val="00F63569"/>
    <w:rsid w:val="00F654EC"/>
    <w:rsid w:val="00F71F8D"/>
    <w:rsid w:val="00F749E4"/>
    <w:rsid w:val="00F76ABA"/>
    <w:rsid w:val="00F772D0"/>
    <w:rsid w:val="00F8104E"/>
    <w:rsid w:val="00F81467"/>
    <w:rsid w:val="00F90A57"/>
    <w:rsid w:val="00F94608"/>
    <w:rsid w:val="00FA118C"/>
    <w:rsid w:val="00FA594F"/>
    <w:rsid w:val="00FA598D"/>
    <w:rsid w:val="00FA74E8"/>
    <w:rsid w:val="00FB1A4C"/>
    <w:rsid w:val="00FB606E"/>
    <w:rsid w:val="00FB7194"/>
    <w:rsid w:val="00FC2E97"/>
    <w:rsid w:val="00FC4B94"/>
    <w:rsid w:val="00FC4D0F"/>
    <w:rsid w:val="00FC5DD1"/>
    <w:rsid w:val="00FD1F84"/>
    <w:rsid w:val="00FD5017"/>
    <w:rsid w:val="00FD58AF"/>
    <w:rsid w:val="00FE0732"/>
    <w:rsid w:val="00FE28AC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B5E3F"/>
  <w15:chartTrackingRefBased/>
  <w15:docId w15:val="{BEED60EE-8984-4B3C-A72A-2570C56C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uiPriority="99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 w:qFormat="1"/>
    <w:lsdException w:name="footer" w:uiPriority="99" w:qFormat="1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12" w:qFormat="1"/>
    <w:lsdException w:name="List Number" w:uiPriority="13" w:qFormat="1"/>
    <w:lsdException w:name="Title" w:uiPriority="10" w:qFormat="1"/>
    <w:lsdException w:name="Body Text" w:uiPriority="1" w:qFormat="1"/>
    <w:lsdException w:name="Subtitle" w:uiPriority="11" w:qFormat="1"/>
    <w:lsdException w:name="Date" w:uiPriority="99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uiPriority w:val="9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2B09BC"/>
    <w:pPr>
      <w:numPr>
        <w:numId w:val="3"/>
      </w:numPr>
      <w:pBdr>
        <w:top w:val="none" w:sz="0" w:space="0" w:color="auto"/>
      </w:pBdr>
      <w:tabs>
        <w:tab w:val="left" w:pos="567"/>
      </w:tabs>
      <w:spacing w:before="180"/>
      <w:ind w:left="567" w:hanging="567"/>
      <w:outlineLvl w:val="1"/>
    </w:pPr>
    <w:rPr>
      <w:sz w:val="32"/>
      <w:lang w:val="en-US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2B09BC"/>
    <w:pPr>
      <w:numPr>
        <w:numId w:val="0"/>
      </w:numPr>
      <w:spacing w:before="120"/>
      <w:ind w:left="567" w:hanging="567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64C08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64C0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3584F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sid w:val="0083584F"/>
    <w:rPr>
      <w:rFonts w:ascii="Arial" w:hAnsi="Arial"/>
      <w:sz w:val="32"/>
    </w:rPr>
  </w:style>
  <w:style w:type="character" w:customStyle="1" w:styleId="Heading3Char">
    <w:name w:val="Heading 3 Char"/>
    <w:link w:val="Heading3"/>
    <w:uiPriority w:val="9"/>
    <w:rsid w:val="0083584F"/>
    <w:rPr>
      <w:rFonts w:ascii="Arial" w:hAnsi="Arial"/>
      <w:sz w:val="28"/>
    </w:rPr>
  </w:style>
  <w:style w:type="character" w:customStyle="1" w:styleId="Heading4Char">
    <w:name w:val="Heading 4 Char"/>
    <w:link w:val="Heading4"/>
    <w:uiPriority w:val="9"/>
    <w:rsid w:val="0083584F"/>
    <w:rPr>
      <w:rFonts w:ascii="Arial" w:hAnsi="Arial"/>
      <w:sz w:val="24"/>
    </w:rPr>
  </w:style>
  <w:style w:type="character" w:customStyle="1" w:styleId="Heading5Char">
    <w:name w:val="Heading 5 Char"/>
    <w:link w:val="Heading5"/>
    <w:uiPriority w:val="9"/>
    <w:rsid w:val="0083584F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3584F"/>
    <w:rPr>
      <w:rFonts w:ascii="Arial" w:hAnsi="Arial"/>
    </w:rPr>
  </w:style>
  <w:style w:type="character" w:customStyle="1" w:styleId="Heading7Char">
    <w:name w:val="Heading 7 Char"/>
    <w:link w:val="Heading7"/>
    <w:uiPriority w:val="9"/>
    <w:rsid w:val="0083584F"/>
    <w:rPr>
      <w:rFonts w:ascii="Arial" w:hAnsi="Arial"/>
    </w:rPr>
  </w:style>
  <w:style w:type="character" w:customStyle="1" w:styleId="Heading8Char">
    <w:name w:val="Heading 8 Char"/>
    <w:link w:val="Heading8"/>
    <w:uiPriority w:val="9"/>
    <w:rsid w:val="0083584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"/>
    <w:rsid w:val="0083584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rsid w:val="00064C08"/>
    <w:pPr>
      <w:ind w:left="1418" w:hanging="1418"/>
    </w:pPr>
  </w:style>
  <w:style w:type="paragraph" w:styleId="TOC8">
    <w:name w:val="toc 8"/>
    <w:basedOn w:val="TOC1"/>
    <w:uiPriority w:val="39"/>
    <w:rsid w:val="00064C08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link w:val="HeaderChar"/>
    <w:uiPriority w:val="99"/>
    <w:qFormat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83584F"/>
    <w:rPr>
      <w:rFonts w:ascii="Arial" w:hAnsi="Arial"/>
      <w:b/>
      <w:noProof/>
      <w:sz w:val="18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64C08"/>
    <w:pPr>
      <w:ind w:left="1701" w:hanging="1701"/>
    </w:pPr>
  </w:style>
  <w:style w:type="paragraph" w:styleId="TOC4">
    <w:name w:val="toc 4"/>
    <w:basedOn w:val="TOC3"/>
    <w:uiPriority w:val="39"/>
    <w:rsid w:val="00064C08"/>
    <w:pPr>
      <w:ind w:left="1418" w:hanging="1418"/>
    </w:pPr>
  </w:style>
  <w:style w:type="paragraph" w:styleId="TOC3">
    <w:name w:val="toc 3"/>
    <w:basedOn w:val="TOC2"/>
    <w:uiPriority w:val="39"/>
    <w:rsid w:val="00064C08"/>
    <w:pPr>
      <w:ind w:left="1134" w:hanging="1134"/>
    </w:pPr>
  </w:style>
  <w:style w:type="paragraph" w:styleId="TOC2">
    <w:name w:val="toc 2"/>
    <w:basedOn w:val="TOC1"/>
    <w:uiPriority w:val="39"/>
    <w:qFormat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link w:val="FooterChar"/>
    <w:uiPriority w:val="99"/>
    <w:qFormat/>
    <w:rsid w:val="00064C08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83584F"/>
    <w:rPr>
      <w:rFonts w:ascii="Arial" w:hAnsi="Arial"/>
      <w:b/>
      <w:i/>
      <w:noProof/>
      <w:sz w:val="18"/>
    </w:rPr>
  </w:style>
  <w:style w:type="character" w:styleId="FootnoteReference">
    <w:name w:val="footnote reference"/>
    <w:uiPriority w:val="99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64C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83584F"/>
    <w:rPr>
      <w:sz w:val="16"/>
      <w:lang w:val="en-GB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uiPriority w:val="13"/>
    <w:qFormat/>
    <w:rsid w:val="00064C08"/>
  </w:style>
  <w:style w:type="paragraph" w:styleId="List">
    <w:name w:val="List"/>
    <w:basedOn w:val="Normal"/>
    <w:uiPriority w:val="99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uiPriority w:val="39"/>
    <w:rsid w:val="00064C08"/>
    <w:pPr>
      <w:ind w:left="1985" w:hanging="1985"/>
    </w:pPr>
  </w:style>
  <w:style w:type="paragraph" w:styleId="TOC7">
    <w:name w:val="toc 7"/>
    <w:basedOn w:val="TOC6"/>
    <w:next w:val="Normal"/>
    <w:uiPriority w:val="39"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uiPriority w:val="12"/>
    <w:qFormat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1"/>
    <w:qFormat/>
  </w:style>
  <w:style w:type="character" w:customStyle="1" w:styleId="BodyTextChar">
    <w:name w:val="Body Text Char"/>
    <w:link w:val="BodyText"/>
    <w:uiPriority w:val="1"/>
    <w:rsid w:val="0083584F"/>
    <w:rPr>
      <w:lang w:val="en-GB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link w:val="CommentText"/>
    <w:uiPriority w:val="99"/>
    <w:semiHidden/>
    <w:rsid w:val="00B31A93"/>
    <w:rPr>
      <w:lang w:val="en-GB" w:eastAsia="en-US"/>
    </w:rPr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256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584F"/>
    <w:rPr>
      <w:rFonts w:ascii="Tahoma" w:hAnsi="Tahoma" w:cs="Tahoma"/>
      <w:sz w:val="16"/>
      <w:szCs w:val="16"/>
      <w:lang w:val="en-GB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table" w:styleId="MediumShading1-Accent3">
    <w:name w:val="Medium Shading 1 Accent 3"/>
    <w:basedOn w:val="TableNormal"/>
    <w:uiPriority w:val="63"/>
    <w:rsid w:val="00522112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52211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52211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31A9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31A9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31A93"/>
    <w:rPr>
      <w:lang w:val="en-GB"/>
    </w:rPr>
  </w:style>
  <w:style w:type="paragraph" w:styleId="ListParagraph">
    <w:name w:val="List Paragraph"/>
    <w:basedOn w:val="Normal"/>
    <w:uiPriority w:val="34"/>
    <w:qFormat/>
    <w:rsid w:val="00FC2E97"/>
    <w:pPr>
      <w:tabs>
        <w:tab w:val="left" w:pos="1134"/>
        <w:tab w:val="left" w:pos="1871"/>
        <w:tab w:val="left" w:pos="2268"/>
      </w:tabs>
      <w:spacing w:before="120" w:after="0"/>
      <w:ind w:left="720"/>
      <w:contextualSpacing/>
    </w:pPr>
    <w:rPr>
      <w:rFonts w:eastAsia="MS Mincho"/>
      <w:sz w:val="24"/>
    </w:rPr>
  </w:style>
  <w:style w:type="table" w:styleId="TableGridLight">
    <w:name w:val="Grid Table Light"/>
    <w:basedOn w:val="TableNormal"/>
    <w:uiPriority w:val="40"/>
    <w:rsid w:val="008358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83584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83584F"/>
    <w:pPr>
      <w:overflowPunct/>
      <w:autoSpaceDE/>
      <w:autoSpaceDN/>
      <w:adjustRightInd/>
      <w:spacing w:before="320" w:after="320" w:line="264" w:lineRule="auto"/>
      <w:contextualSpacing/>
      <w:textAlignment w:val="auto"/>
    </w:pPr>
    <w:rPr>
      <w:rFonts w:ascii="Verdana" w:eastAsia="Verdana" w:hAnsi="Verdana"/>
      <w:b/>
      <w:iCs/>
      <w:color w:val="F75952"/>
      <w:sz w:val="5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83584F"/>
    <w:rPr>
      <w:rFonts w:ascii="Verdana" w:eastAsia="Verdana" w:hAnsi="Verdana"/>
      <w:b/>
      <w:iCs/>
      <w:color w:val="F75952"/>
      <w:sz w:val="54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99"/>
    <w:unhideWhenUsed/>
    <w:rsid w:val="0083584F"/>
    <w:pPr>
      <w:overflowPunct/>
      <w:autoSpaceDE/>
      <w:autoSpaceDN/>
      <w:adjustRightInd/>
      <w:spacing w:before="317" w:after="317"/>
      <w:ind w:left="720" w:hanging="245"/>
      <w:contextualSpacing/>
      <w:textAlignment w:val="auto"/>
    </w:pPr>
    <w:rPr>
      <w:rFonts w:ascii="Verdana" w:eastAsia="Verdana" w:hAnsi="Verdana"/>
      <w:b/>
      <w:color w:val="F75952"/>
      <w:sz w:val="24"/>
      <w:szCs w:val="24"/>
      <w:lang w:eastAsia="ja-JP"/>
    </w:rPr>
  </w:style>
  <w:style w:type="character" w:styleId="Emphasis">
    <w:name w:val="Emphasis"/>
    <w:uiPriority w:val="20"/>
    <w:qFormat/>
    <w:rsid w:val="0083584F"/>
    <w:rPr>
      <w:b w:val="0"/>
      <w:i w:val="0"/>
      <w:iCs/>
      <w:color w:val="F75952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3584F"/>
    <w:pPr>
      <w:overflowPunct/>
      <w:autoSpaceDE/>
      <w:autoSpaceDN/>
      <w:adjustRightInd/>
      <w:spacing w:before="320" w:after="320" w:line="264" w:lineRule="auto"/>
      <w:contextualSpacing/>
      <w:textAlignment w:val="auto"/>
    </w:pPr>
    <w:rPr>
      <w:rFonts w:ascii="Verdana" w:eastAsia="Verdana" w:hAnsi="Verdana"/>
      <w:b/>
      <w:i/>
      <w:iCs/>
      <w:color w:val="F75952"/>
      <w:sz w:val="54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84F"/>
    <w:rPr>
      <w:rFonts w:ascii="Verdana" w:eastAsia="Verdana" w:hAnsi="Verdana"/>
      <w:b/>
      <w:i/>
      <w:iCs/>
      <w:color w:val="F75952"/>
      <w:sz w:val="5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qFormat/>
    <w:rsid w:val="0083584F"/>
    <w:pPr>
      <w:pBdr>
        <w:top w:val="none" w:sz="0" w:space="0" w:color="auto"/>
      </w:pBdr>
      <w:overflowPunct/>
      <w:autoSpaceDE/>
      <w:autoSpaceDN/>
      <w:adjustRightInd/>
      <w:spacing w:before="960" w:after="1320"/>
      <w:ind w:left="0" w:firstLine="0"/>
      <w:textAlignment w:val="auto"/>
      <w:outlineLvl w:val="9"/>
    </w:pPr>
    <w:rPr>
      <w:rFonts w:ascii="Verdana" w:eastAsia="Verdana" w:hAnsi="Verdana"/>
      <w:b/>
      <w:color w:val="000000"/>
      <w:szCs w:val="24"/>
      <w:lang w:val="en-US" w:eastAsia="ja-JP"/>
    </w:rPr>
  </w:style>
  <w:style w:type="character" w:styleId="IntenseEmphasis">
    <w:name w:val="Intense Emphasis"/>
    <w:uiPriority w:val="21"/>
    <w:unhideWhenUsed/>
    <w:qFormat/>
    <w:rsid w:val="0083584F"/>
    <w:rPr>
      <w:b/>
      <w:i/>
      <w:iCs/>
      <w:caps/>
      <w:smallCaps w:val="0"/>
      <w:color w:val="F75952"/>
    </w:rPr>
  </w:style>
  <w:style w:type="character" w:styleId="IntenseReference">
    <w:name w:val="Intense Reference"/>
    <w:uiPriority w:val="32"/>
    <w:unhideWhenUsed/>
    <w:qFormat/>
    <w:rsid w:val="0083584F"/>
    <w:rPr>
      <w:b/>
      <w:bCs/>
      <w:caps/>
      <w:smallCaps w:val="0"/>
      <w:color w:val="3E3E3E"/>
      <w:spacing w:val="0"/>
    </w:rPr>
  </w:style>
  <w:style w:type="character" w:styleId="Strong">
    <w:name w:val="Strong"/>
    <w:uiPriority w:val="22"/>
    <w:unhideWhenUsed/>
    <w:qFormat/>
    <w:rsid w:val="0083584F"/>
    <w:rPr>
      <w:b/>
      <w:bCs/>
      <w:color w:val="3E3E3E"/>
    </w:rPr>
  </w:style>
  <w:style w:type="character" w:styleId="SubtleEmphasis">
    <w:name w:val="Subtle Emphasis"/>
    <w:uiPriority w:val="19"/>
    <w:unhideWhenUsed/>
    <w:qFormat/>
    <w:rsid w:val="0083584F"/>
    <w:rPr>
      <w:i/>
      <w:iCs/>
      <w:color w:val="5F5F5F"/>
    </w:rPr>
  </w:style>
  <w:style w:type="character" w:styleId="SubtleReference">
    <w:name w:val="Subtle Reference"/>
    <w:uiPriority w:val="31"/>
    <w:unhideWhenUsed/>
    <w:qFormat/>
    <w:rsid w:val="0083584F"/>
    <w:rPr>
      <w:caps/>
      <w:smallCaps w:val="0"/>
      <w:color w:val="5F5F5F"/>
    </w:rPr>
  </w:style>
  <w:style w:type="character" w:styleId="BookTitle">
    <w:name w:val="Book Title"/>
    <w:uiPriority w:val="33"/>
    <w:unhideWhenUsed/>
    <w:qFormat/>
    <w:rsid w:val="0083584F"/>
    <w:rPr>
      <w:b w:val="0"/>
      <w:bCs/>
      <w:i/>
      <w:iCs/>
      <w:color w:val="3E3E3E"/>
      <w:spacing w:val="0"/>
    </w:rPr>
  </w:style>
  <w:style w:type="paragraph" w:styleId="Title">
    <w:name w:val="Title"/>
    <w:basedOn w:val="Normal"/>
    <w:next w:val="Subtitle"/>
    <w:link w:val="TitleChar"/>
    <w:uiPriority w:val="10"/>
    <w:qFormat/>
    <w:rsid w:val="0083584F"/>
    <w:pPr>
      <w:overflowPunct/>
      <w:autoSpaceDE/>
      <w:autoSpaceDN/>
      <w:adjustRightInd/>
      <w:spacing w:after="280"/>
      <w:contextualSpacing/>
      <w:textAlignment w:val="auto"/>
    </w:pPr>
    <w:rPr>
      <w:rFonts w:ascii="Verdana" w:eastAsia="MS Gothic" w:hAnsi="Verdana"/>
      <w:b/>
      <w:caps/>
      <w:color w:val="000000"/>
      <w:kern w:val="28"/>
      <w:sz w:val="48"/>
      <w:szCs w:val="56"/>
      <w:lang w:eastAsia="ja-JP"/>
    </w:rPr>
  </w:style>
  <w:style w:type="paragraph" w:styleId="Subtitle">
    <w:name w:val="Subtitle"/>
    <w:basedOn w:val="Normal"/>
    <w:next w:val="Author"/>
    <w:link w:val="SubtitleChar"/>
    <w:uiPriority w:val="11"/>
    <w:qFormat/>
    <w:rsid w:val="0083584F"/>
    <w:pPr>
      <w:numPr>
        <w:ilvl w:val="1"/>
      </w:numPr>
      <w:overflowPunct/>
      <w:autoSpaceDE/>
      <w:autoSpaceDN/>
      <w:adjustRightInd/>
      <w:spacing w:before="120" w:after="0"/>
      <w:textAlignment w:val="auto"/>
    </w:pPr>
    <w:rPr>
      <w:rFonts w:ascii="Verdana" w:eastAsia="MS Gothic" w:hAnsi="Verdana"/>
      <w:b/>
      <w:i/>
      <w:color w:val="3E3E3E"/>
      <w:sz w:val="28"/>
      <w:szCs w:val="22"/>
      <w:lang w:eastAsia="ja-JP"/>
    </w:rPr>
  </w:style>
  <w:style w:type="paragraph" w:customStyle="1" w:styleId="Author">
    <w:name w:val="Author"/>
    <w:basedOn w:val="Normal"/>
    <w:uiPriority w:val="3"/>
    <w:qFormat/>
    <w:rsid w:val="0083584F"/>
    <w:pPr>
      <w:overflowPunct/>
      <w:autoSpaceDE/>
      <w:autoSpaceDN/>
      <w:adjustRightInd/>
      <w:spacing w:after="0" w:line="312" w:lineRule="auto"/>
      <w:textAlignment w:val="auto"/>
    </w:pPr>
    <w:rPr>
      <w:rFonts w:ascii="Verdana" w:eastAsia="Verdana" w:hAnsi="Verdana"/>
      <w:b/>
      <w:color w:val="2A2A2A"/>
      <w:sz w:val="30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83584F"/>
    <w:rPr>
      <w:rFonts w:ascii="Verdana" w:eastAsia="MS Gothic" w:hAnsi="Verdana"/>
      <w:b/>
      <w:i/>
      <w:color w:val="3E3E3E"/>
      <w:sz w:val="28"/>
      <w:szCs w:val="2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83584F"/>
    <w:rPr>
      <w:rFonts w:ascii="Verdana" w:eastAsia="MS Gothic" w:hAnsi="Verdana"/>
      <w:b/>
      <w:caps/>
      <w:color w:val="000000"/>
      <w:kern w:val="28"/>
      <w:sz w:val="48"/>
      <w:szCs w:val="56"/>
      <w:lang w:eastAsia="ja-JP"/>
    </w:rPr>
  </w:style>
  <w:style w:type="character" w:styleId="PageNumber">
    <w:name w:val="page number"/>
    <w:uiPriority w:val="99"/>
    <w:unhideWhenUsed/>
    <w:rsid w:val="0083584F"/>
  </w:style>
  <w:style w:type="paragraph" w:customStyle="1" w:styleId="Legalheading">
    <w:name w:val="Legal heading"/>
    <w:basedOn w:val="Heading2"/>
    <w:qFormat/>
    <w:rsid w:val="0083584F"/>
    <w:pPr>
      <w:keepNext w:val="0"/>
      <w:keepLines w:val="0"/>
      <w:numPr>
        <w:numId w:val="0"/>
      </w:numPr>
      <w:tabs>
        <w:tab w:val="clear" w:pos="567"/>
      </w:tabs>
      <w:overflowPunct/>
      <w:autoSpaceDE/>
      <w:autoSpaceDN/>
      <w:adjustRightInd/>
      <w:spacing w:before="240" w:after="120"/>
      <w:textAlignment w:val="auto"/>
    </w:pPr>
    <w:rPr>
      <w:rFonts w:ascii="Verdana" w:eastAsia="MS Gothic" w:hAnsi="Verdana"/>
      <w:b/>
      <w:color w:val="000000"/>
      <w:sz w:val="22"/>
      <w:szCs w:val="26"/>
      <w:lang w:eastAsia="ja-JP"/>
    </w:rPr>
  </w:style>
  <w:style w:type="paragraph" w:customStyle="1" w:styleId="Cellhead">
    <w:name w:val="Cell head"/>
    <w:basedOn w:val="Normal"/>
    <w:qFormat/>
    <w:rsid w:val="0083584F"/>
    <w:pPr>
      <w:overflowPunct/>
      <w:autoSpaceDE/>
      <w:autoSpaceDN/>
      <w:adjustRightInd/>
      <w:spacing w:after="0"/>
      <w:textAlignment w:val="auto"/>
    </w:pPr>
    <w:rPr>
      <w:rFonts w:ascii="Verdana" w:hAnsi="Verdana"/>
      <w:b/>
      <w:bCs/>
      <w:szCs w:val="22"/>
    </w:rPr>
  </w:style>
  <w:style w:type="paragraph" w:customStyle="1" w:styleId="Cellbody">
    <w:name w:val="Cell body"/>
    <w:basedOn w:val="Normal"/>
    <w:qFormat/>
    <w:rsid w:val="0083584F"/>
    <w:pPr>
      <w:overflowPunct/>
      <w:autoSpaceDE/>
      <w:autoSpaceDN/>
      <w:adjustRightInd/>
      <w:spacing w:before="80" w:after="40"/>
      <w:textAlignment w:val="auto"/>
    </w:pPr>
    <w:rPr>
      <w:rFonts w:ascii="Verdana" w:hAnsi="Verdana"/>
      <w:szCs w:val="24"/>
    </w:rPr>
  </w:style>
  <w:style w:type="paragraph" w:customStyle="1" w:styleId="Legaltext">
    <w:name w:val="Legal text"/>
    <w:basedOn w:val="Normal"/>
    <w:qFormat/>
    <w:rsid w:val="0083584F"/>
    <w:pPr>
      <w:overflowPunct/>
      <w:autoSpaceDE/>
      <w:autoSpaceDN/>
      <w:adjustRightInd/>
      <w:spacing w:before="120" w:after="120"/>
      <w:ind w:left="864"/>
      <w:contextualSpacing/>
      <w:textAlignment w:val="auto"/>
    </w:pPr>
    <w:rPr>
      <w:rFonts w:ascii="Verdana" w:eastAsia="Verdana" w:hAnsi="Verdana"/>
      <w:color w:val="000000"/>
      <w:sz w:val="18"/>
      <w:szCs w:val="22"/>
      <w:lang w:eastAsia="ja-JP"/>
    </w:rPr>
  </w:style>
  <w:style w:type="paragraph" w:customStyle="1" w:styleId="Tableheading">
    <w:name w:val="Table heading"/>
    <w:basedOn w:val="Normal"/>
    <w:next w:val="BodyText"/>
    <w:uiPriority w:val="1"/>
    <w:qFormat/>
    <w:rsid w:val="0083584F"/>
    <w:pPr>
      <w:widowControl w:val="0"/>
      <w:numPr>
        <w:numId w:val="4"/>
      </w:numPr>
      <w:overflowPunct/>
      <w:autoSpaceDE/>
      <w:autoSpaceDN/>
      <w:adjustRightInd/>
      <w:spacing w:before="120" w:after="0"/>
      <w:ind w:left="1800"/>
      <w:textAlignment w:val="auto"/>
    </w:pPr>
    <w:rPr>
      <w:rFonts w:ascii="Verdana" w:eastAsia="Verdana" w:hAnsi="Verdana"/>
      <w:b/>
      <w:color w:val="000000"/>
      <w:sz w:val="22"/>
      <w:szCs w:val="22"/>
      <w:lang w:eastAsia="ja-JP"/>
    </w:rPr>
  </w:style>
  <w:style w:type="paragraph" w:styleId="NoSpacing">
    <w:name w:val="No Spacing"/>
    <w:link w:val="NoSpacingChar"/>
    <w:uiPriority w:val="1"/>
    <w:qFormat/>
    <w:rsid w:val="0083584F"/>
    <w:pPr>
      <w:jc w:val="center"/>
    </w:pPr>
    <w:rPr>
      <w:rFonts w:ascii="Verdana" w:eastAsia="MS Gothic" w:hAnsi="Verdana"/>
      <w:sz w:val="10"/>
      <w:szCs w:val="22"/>
      <w:lang w:eastAsia="zh-CN"/>
    </w:rPr>
  </w:style>
  <w:style w:type="character" w:customStyle="1" w:styleId="NoSpacingChar">
    <w:name w:val="No Spacing Char"/>
    <w:link w:val="NoSpacing"/>
    <w:uiPriority w:val="1"/>
    <w:rsid w:val="0083584F"/>
    <w:rPr>
      <w:rFonts w:ascii="Verdana" w:eastAsia="MS Gothic" w:hAnsi="Verdana"/>
      <w:sz w:val="10"/>
      <w:szCs w:val="22"/>
      <w:lang w:eastAsia="zh-CN"/>
    </w:rPr>
  </w:style>
  <w:style w:type="paragraph" w:customStyle="1" w:styleId="Figures">
    <w:name w:val="Figures"/>
    <w:basedOn w:val="List"/>
    <w:next w:val="BodyText"/>
    <w:qFormat/>
    <w:rsid w:val="0083584F"/>
    <w:pPr>
      <w:numPr>
        <w:numId w:val="5"/>
      </w:numPr>
      <w:ind w:left="568" w:hanging="284"/>
    </w:pPr>
  </w:style>
  <w:style w:type="paragraph" w:styleId="Date">
    <w:name w:val="Date"/>
    <w:basedOn w:val="Normal"/>
    <w:next w:val="Title"/>
    <w:link w:val="DateChar"/>
    <w:uiPriority w:val="99"/>
    <w:qFormat/>
    <w:rsid w:val="0083584F"/>
    <w:pPr>
      <w:overflowPunct/>
      <w:autoSpaceDE/>
      <w:autoSpaceDN/>
      <w:adjustRightInd/>
      <w:spacing w:before="120" w:after="120"/>
      <w:jc w:val="right"/>
      <w:textAlignment w:val="auto"/>
    </w:pPr>
    <w:rPr>
      <w:rFonts w:ascii="Verdana" w:eastAsia="Verdana" w:hAnsi="Verdana"/>
      <w:color w:val="000000"/>
      <w:sz w:val="24"/>
      <w:szCs w:val="22"/>
      <w:lang w:eastAsia="ja-JP"/>
    </w:rPr>
  </w:style>
  <w:style w:type="character" w:customStyle="1" w:styleId="DateChar">
    <w:name w:val="Date Char"/>
    <w:basedOn w:val="DefaultParagraphFont"/>
    <w:link w:val="Date"/>
    <w:uiPriority w:val="99"/>
    <w:rsid w:val="0083584F"/>
    <w:rPr>
      <w:rFonts w:ascii="Verdana" w:eastAsia="Verdana" w:hAnsi="Verdana"/>
      <w:color w:val="000000"/>
      <w:sz w:val="24"/>
      <w:szCs w:val="22"/>
      <w:lang w:eastAsia="ja-JP"/>
    </w:rPr>
  </w:style>
  <w:style w:type="paragraph" w:customStyle="1" w:styleId="Bottomtitle">
    <w:name w:val="Bottom title"/>
    <w:basedOn w:val="Normal"/>
    <w:next w:val="BodyText"/>
    <w:qFormat/>
    <w:rsid w:val="0083584F"/>
    <w:pPr>
      <w:widowControl w:val="0"/>
      <w:overflowPunct/>
      <w:autoSpaceDE/>
      <w:autoSpaceDN/>
      <w:adjustRightInd/>
      <w:spacing w:before="120" w:after="120"/>
      <w:ind w:left="864"/>
      <w:contextualSpacing/>
      <w:textAlignment w:val="auto"/>
    </w:pPr>
    <w:rPr>
      <w:rFonts w:ascii="Verdana" w:eastAsia="MS Gothic" w:hAnsi="Verdana"/>
      <w:b/>
      <w:bCs/>
      <w:i/>
      <w:iCs/>
      <w:color w:val="000000"/>
      <w:kern w:val="28"/>
      <w:sz w:val="28"/>
      <w:szCs w:val="32"/>
      <w:lang w:eastAsia="ja-JP"/>
    </w:rPr>
  </w:style>
  <w:style w:type="paragraph" w:customStyle="1" w:styleId="Toptitle">
    <w:name w:val="Top title"/>
    <w:basedOn w:val="Normal"/>
    <w:next w:val="BodyText"/>
    <w:uiPriority w:val="1"/>
    <w:qFormat/>
    <w:rsid w:val="0083584F"/>
    <w:pPr>
      <w:widowControl w:val="0"/>
      <w:overflowPunct/>
      <w:autoSpaceDE/>
      <w:autoSpaceDN/>
      <w:adjustRightInd/>
      <w:spacing w:after="0"/>
      <w:contextualSpacing/>
      <w:jc w:val="right"/>
      <w:textAlignment w:val="auto"/>
    </w:pPr>
    <w:rPr>
      <w:rFonts w:ascii="Verdana" w:eastAsia="MS Gothic" w:hAnsi="Verdana"/>
      <w:b/>
      <w:bCs/>
      <w:i/>
      <w:iCs/>
      <w:color w:val="000000"/>
      <w:kern w:val="28"/>
      <w:sz w:val="32"/>
      <w:szCs w:val="32"/>
      <w:lang w:eastAsia="ja-JP"/>
    </w:rPr>
  </w:style>
  <w:style w:type="paragraph" w:styleId="NormalWeb">
    <w:name w:val="Normal (Web)"/>
    <w:basedOn w:val="Normal"/>
    <w:uiPriority w:val="99"/>
    <w:unhideWhenUsed/>
    <w:rsid w:val="008358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Gothic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83584F"/>
    <w:pPr>
      <w:overflowPunct/>
      <w:autoSpaceDE/>
      <w:autoSpaceDN/>
      <w:adjustRightInd/>
      <w:spacing w:after="200" w:line="312" w:lineRule="auto"/>
      <w:textAlignment w:val="auto"/>
    </w:pPr>
    <w:rPr>
      <w:rFonts w:ascii="Verdana" w:eastAsia="Verdana" w:hAnsi="Verdana"/>
      <w:color w:val="5F5F5F"/>
      <w:sz w:val="24"/>
      <w:szCs w:val="24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rsid w:val="0083584F"/>
    <w:pPr>
      <w:overflowPunct/>
      <w:autoSpaceDE/>
      <w:autoSpaceDN/>
      <w:adjustRightInd/>
      <w:spacing w:after="0"/>
      <w:textAlignment w:val="auto"/>
    </w:pPr>
    <w:rPr>
      <w:rFonts w:ascii="Verdana" w:eastAsia="Verdana" w:hAnsi="Verdana"/>
      <w:color w:val="5F5F5F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3584F"/>
    <w:rPr>
      <w:rFonts w:ascii="Verdana" w:eastAsia="Verdana" w:hAnsi="Verdana"/>
      <w:color w:val="5F5F5F"/>
      <w:lang w:eastAsia="ja-JP"/>
    </w:rPr>
  </w:style>
  <w:style w:type="character" w:styleId="EndnoteReference">
    <w:name w:val="endnote reference"/>
    <w:uiPriority w:val="99"/>
    <w:unhideWhenUsed/>
    <w:rsid w:val="0083584F"/>
    <w:rPr>
      <w:vertAlign w:val="superscript"/>
    </w:rPr>
  </w:style>
  <w:style w:type="table" w:styleId="GridTable4-Accent2">
    <w:name w:val="Grid Table 4 Accent 2"/>
    <w:basedOn w:val="TableNormal"/>
    <w:uiPriority w:val="49"/>
    <w:rsid w:val="0083584F"/>
    <w:rPr>
      <w:rFonts w:ascii="Verdana" w:eastAsia="Verdana" w:hAnsi="Verdana"/>
      <w:color w:val="5F5F5F"/>
      <w:sz w:val="24"/>
      <w:szCs w:val="24"/>
      <w:lang w:eastAsia="ja-JP"/>
    </w:rPr>
    <w:tblPr>
      <w:tblStyleRowBandSize w:val="1"/>
      <w:tblStyleColBandSize w:val="1"/>
      <w:tblBorders>
        <w:top w:val="single" w:sz="4" w:space="0" w:color="A5DDDE"/>
        <w:left w:val="single" w:sz="4" w:space="0" w:color="A5DDDE"/>
        <w:bottom w:val="single" w:sz="4" w:space="0" w:color="A5DDDE"/>
        <w:right w:val="single" w:sz="4" w:space="0" w:color="A5DDDE"/>
        <w:insideH w:val="single" w:sz="4" w:space="0" w:color="A5DDDE"/>
        <w:insideV w:val="single" w:sz="4" w:space="0" w:color="A5DDD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AC7C9"/>
          <w:left w:val="single" w:sz="4" w:space="0" w:color="6AC7C9"/>
          <w:bottom w:val="single" w:sz="4" w:space="0" w:color="6AC7C9"/>
          <w:right w:val="single" w:sz="4" w:space="0" w:color="6AC7C9"/>
          <w:insideH w:val="nil"/>
          <w:insideV w:val="nil"/>
        </w:tcBorders>
        <w:shd w:val="clear" w:color="auto" w:fill="6AC7C9"/>
      </w:tcPr>
    </w:tblStylePr>
    <w:tblStylePr w:type="lastRow">
      <w:rPr>
        <w:b/>
        <w:bCs/>
      </w:rPr>
      <w:tblPr/>
      <w:tcPr>
        <w:tcBorders>
          <w:top w:val="double" w:sz="4" w:space="0" w:color="6AC7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3F4"/>
      </w:tcPr>
    </w:tblStylePr>
    <w:tblStylePr w:type="band1Horz">
      <w:tblPr/>
      <w:tcPr>
        <w:shd w:val="clear" w:color="auto" w:fill="E1F3F4"/>
      </w:tcPr>
    </w:tblStylePr>
  </w:style>
  <w:style w:type="character" w:styleId="PlaceholderText">
    <w:name w:val="Placeholder Text"/>
    <w:basedOn w:val="DefaultParagraphFont"/>
    <w:uiPriority w:val="99"/>
    <w:semiHidden/>
    <w:rsid w:val="0015672D"/>
    <w:rPr>
      <w:color w:val="808080"/>
    </w:rPr>
  </w:style>
  <w:style w:type="table" w:styleId="GridTable5Dark-Accent5">
    <w:name w:val="Grid Table 5 Dark Accent 5"/>
    <w:basedOn w:val="TableNormal"/>
    <w:uiPriority w:val="50"/>
    <w:rsid w:val="00D11C4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460479F98CC64993FB7E553EA54DB8" ma:contentTypeVersion="2" ma:contentTypeDescription="Create a new document." ma:contentTypeScope="" ma:versionID="3fcaf9f86eecabe60cafbc14737b6fc1">
  <xsd:schema xmlns:xsd="http://www.w3.org/2001/XMLSchema" xmlns:xs="http://www.w3.org/2001/XMLSchema" xmlns:p="http://schemas.microsoft.com/office/2006/metadata/properties" xmlns:ns2="0098f7bc-1fc3-4794-aeac-ebeaa1c52ff0" targetNamespace="http://schemas.microsoft.com/office/2006/metadata/properties" ma:root="true" ma:fieldsID="0e257f48f48cd15e8cc2eb6c4f30978c" ns2:_="">
    <xsd:import namespace="0098f7bc-1fc3-4794-aeac-ebeaa1c52f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8f7bc-1fc3-4794-aeac-ebeaa1c52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ATT14</b:Tag>
    <b:SourceType>InternetSite</b:SourceType>
    <b:Guid>{5AD3BCAF-E1C0-48E7-BC82-346B9A582367}</b:Guid>
    <b:Title>AT&amp;T Investor Report</b:Title>
    <b:Year>2014</b:Year>
    <b:URL>http://www.att.com/Investor/ATT_Annual/2014/att_introduces_new_concepts_for_telecom_network.html</b:URL>
    <b:RefOrder>1</b:RefOrder>
  </b:Source>
  <b:Source>
    <b:Tag>Rac15</b:Tag>
    <b:SourceType>DocumentFromInternetSite</b:SourceType>
    <b:Guid>{8DD435C0-72F3-43DB-A5A3-E102EDA5325A}</b:Guid>
    <b:Title>NGMN 5G Initiative White Paper</b:Title>
    <b:Year>2015</b:Year>
    <b:Author>
      <b:Author>
        <b:NameList>
          <b:Person>
            <b:Last>Rachid El Hattachi</b:Last>
            <b:First>Javan</b:First>
            <b:Middle>Erfanian</b:Middle>
          </b:Person>
        </b:NameList>
      </b:Author>
    </b:Author>
    <b:Month>February</b:Month>
    <b:Day>17</b:Day>
    <b:URL>https://www.ngmn.org/uploads/media/NGMN_5G_White_Paper_V1_0.pdf</b:URL>
    <b:RefOrder>2</b:RefOrder>
  </b:Source>
  <b:Source>
    <b:Tag>FRu13</b:Tag>
    <b:SourceType>JournalArticle</b:SourceType>
    <b:Guid>{0615690B-1127-4AB3-BC94-59DEC3B3F0BD}</b:Guid>
    <b:Title>Scaling Up MIMO, Opportunities and Challenges with Very Large Arrays</b:Title>
    <b:Year>2013</b:Year>
    <b:Author>
      <b:Author>
        <b:NameList>
          <b:Person>
            <b:Last>Rusek</b:Last>
            <b:First>F</b:First>
          </b:Person>
          <b:Person>
            <b:Last>Persson</b:Last>
            <b:First>D.</b:First>
          </b:Person>
          <b:Person>
            <b:Last>Lau</b:Last>
            <b:Middle>K.</b:Middle>
            <b:First>B.</b:First>
          </b:Person>
          <b:Person>
            <b:Last>Larsson</b:Last>
            <b:Middle>G.</b:Middle>
            <b:First>E.</b:First>
          </b:Person>
          <b:Person>
            <b:Last>Marzetta</b:Last>
            <b:Middle>L.</b:Middle>
            <b:First>T.</b:First>
          </b:Person>
          <b:Person>
            <b:Last>Tufvesson</b:Last>
            <b:First>F.</b:First>
          </b:Person>
        </b:NameList>
      </b:Author>
    </b:Author>
    <b:JournalName>IEEE Signal Processing Magazine</b:JournalName>
    <b:Pages>40-60</b:Pages>
    <b:DOI>10.1109/MSP.2011.2178495</b:DOI>
    <b:RefOrder>3</b:RefOrder>
  </b:Source>
  <b:Source>
    <b:Tag>Mec89</b:Tag>
    <b:SourceType>JournalArticle</b:SourceType>
    <b:Guid>{A8F2313B-4EDE-4023-B554-29744521B635}</b:Guid>
    <b:Title>A Tutorial on Non-Parametric Bilinear Time-Frequency Signal Representations</b:Title>
    <b:JournalName>Time and Frequency Representation of Signals and Systems (Eds. G Longo and B. Picinbono)</b:JournalName>
    <b:Year>1989</b:Year>
    <b:Pages>11-68</b:Pages>
    <b:Volume>309</b:Volume>
    <b:Author>
      <b:Author>
        <b:NameList>
          <b:Person>
            <b:Last>Mecklenbräuker</b:Last>
            <b:First>W</b:First>
          </b:Person>
        </b:NameList>
      </b:Author>
    </b:Author>
    <b:RefOrder>4</b:RefOrder>
  </b:Source>
  <b:Source>
    <b:Tag>Vod15</b:Tag>
    <b:SourceType>ConferenceProceedings</b:SourceType>
    <b:Guid>{EA5F5266-2362-475E-9A03-27BB41762A56}</b:Guid>
    <b:Title>Cellular Internet of Things: Architectural Aspects</b:Title>
    <b:Year>2015</b:Year>
    <b:Author>
      <b:Author>
        <b:Corporate>Vodafone</b:Corporate>
      </b:Author>
    </b:Author>
    <b:Month>June</b:Month>
    <b:URL>http://www.3gpp.org/ftp/tsg_ran/TSG_RAN/TSGR_68/Docs/RP-150869.zip</b:URL>
    <b:City>Malmo, Sweden</b:City>
    <b:ConferenceName>3GPP RAN#68</b:ConferenceName>
    <b:RefOrder>5</b:RefOrder>
  </b:Source>
  <b:Source>
    <b:Tag>Ban14</b:Tag>
    <b:SourceType>JournalArticle</b:SourceType>
    <b:Guid>{65E4A61E-0C21-4091-ADE7-A90670F25447}</b:Guid>
    <b:Title>Modulation Formats and Waveforms for 5G Networks: Who Will Be the Heir of OFDM?</b:Title>
    <b:Year>2014</b:Year>
    <b:JournalName>IEEE Signal Processing Magazine</b:JournalName>
    <b:Pages>80-93</b:Pages>
    <b:Author>
      <b:Author>
        <b:NameList>
          <b:Person>
            <b:Last>Banelli</b:Last>
            <b:First>Paolo</b:First>
          </b:Person>
          <b:Person>
            <b:Last>Buzzi</b:Last>
            <b:First>Stefano</b:First>
          </b:Person>
          <b:Person>
            <b:Last>Colavolpe</b:Last>
            <b:First>Giulio</b:First>
          </b:Person>
          <b:Person>
            <b:Last>Modenini</b:Last>
            <b:First>Andrea</b:First>
          </b:Person>
          <b:Person>
            <b:Last>Rusek</b:Last>
            <b:First>Frederik</b:First>
          </b:Person>
          <b:Person>
            <b:Last>Ugolini</b:Last>
            <b:First>Alessandro</b:First>
          </b:Person>
        </b:NameList>
      </b:Author>
    </b:Author>
    <b:RefOrder>6</b:RefOrder>
  </b:Source>
</b:Sources>
</file>

<file path=customXml/itemProps1.xml><?xml version="1.0" encoding="utf-8"?>
<ds:datastoreItem xmlns:ds="http://schemas.openxmlformats.org/officeDocument/2006/customXml" ds:itemID="{707298AE-E4AE-4C82-9E29-715FFCA474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92DCE-BEC1-4612-9CE7-AA768BCF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8f7bc-1fc3-4794-aeac-ebeaa1c52f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A76E-7BC5-40CB-BBC5-3D5083A862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149E27-0039-41AC-99B9-E301908363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6DFBDCF-0823-40C7-B35C-C9ED3F2F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7001</CharactersWithSpaces>
  <SharedDoc>false</SharedDoc>
  <HLinks>
    <vt:vector size="6" baseType="variant">
      <vt:variant>
        <vt:i4>1704010</vt:i4>
      </vt:variant>
      <vt:variant>
        <vt:i4>6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/>
  <cp:lastModifiedBy>Michail Tsatsanis</cp:lastModifiedBy>
  <cp:revision>8</cp:revision>
  <cp:lastPrinted>2016-04-01T18:34:00Z</cp:lastPrinted>
  <dcterms:created xsi:type="dcterms:W3CDTF">2016-08-13T00:04:00Z</dcterms:created>
  <dcterms:modified xsi:type="dcterms:W3CDTF">2016-08-13T03:15:00Z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44;#3GPP|6a3890dd-b3c6-4ee1-9283-043167dd414d</vt:lpwstr>
  </property>
  <property fmtid="{D5CDD505-2E9C-101B-9397-08002B2CF9AE}" pid="3" name="_dlc_DocId">
    <vt:lpwstr>WVVVEZWPY5V4-1-11094</vt:lpwstr>
  </property>
  <property fmtid="{D5CDD505-2E9C-101B-9397-08002B2CF9AE}" pid="4" name="_dlc_DocIdItemGuid">
    <vt:lpwstr>6d502850-f36d-4fa6-85c1-c5293e463038</vt:lpwstr>
  </property>
  <property fmtid="{D5CDD505-2E9C-101B-9397-08002B2CF9AE}" pid="5" name="_dlc_DocIdUrl">
    <vt:lpwstr>https://ericoll.internal.ericsson.com/sites/FRA/_layouts/DocIdRedir.aspx?ID=WVVVEZWPY5V4-1-11094, WVVVEZWPY5V4-1-11094</vt:lpwstr>
  </property>
  <property fmtid="{D5CDD505-2E9C-101B-9397-08002B2CF9AE}" pid="6" name="EriCOLLCategory">
    <vt:lpwstr>1;#Technology|b3747014-464c-4f4a-88e7-23c663dc6c06;#2;#Project|5fd1cb76-0b0e-4149-8caf-738ae6fe14fe;#3;#Research|7f1f7aab-c784-40ec-8666-825d2ac7abef</vt:lpwstr>
  </property>
  <property fmtid="{D5CDD505-2E9C-101B-9397-08002B2CF9AE}" pid="7" name="EriCOLLOrganizationUnit">
    <vt:lpwstr>4;#GF Technology|7ac278bb-d2a3-440f-950b-542e9e64b75a</vt:lpwstr>
  </property>
  <property fmtid="{D5CDD505-2E9C-101B-9397-08002B2CF9AE}" pid="8" name="EriCOLLProjects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0x010100ED460479F98CC64993FB7E553EA54DB8</vt:lpwstr>
  </property>
</Properties>
</file>